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Fonts w:cs="Segoe UI" w:ascii="Segoe UI" w:hAnsi="Segoe UI"/>
          <w:sz w:val="18"/>
          <w:szCs w:val="18"/>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sectPr>
          <w:headerReference w:type="default" r:id="rId2"/>
          <w:footerReference w:type="default" r:id="rId3"/>
          <w:type w:val="nextPage"/>
          <w:pgSz w:w="12240" w:h="15840"/>
          <w:pgMar w:left="1701" w:right="567" w:gutter="0" w:header="720" w:top="1134" w:footer="720" w:bottom="1134"/>
          <w:pgNumType w:start="1" w:fmt="decimal"/>
          <w:formProt w:val="false"/>
          <w:titlePg/>
          <w:textDirection w:val="lrTb"/>
          <w:docGrid w:type="default" w:linePitch="360" w:charSpace="0"/>
        </w:sectPr>
        <w:pStyle w:val="Normal"/>
        <w:spacing w:lineRule="auto" w:line="276"/>
        <w:jc w:val="center"/>
        <w:rPr/>
      </w:pPr>
      <w:r>
        <w:rPr/>
      </w:r>
    </w:p>
    <w:p>
      <w:pPr>
        <w:pStyle w:val="Normal"/>
        <w:widowControl w:val="false"/>
        <w:tabs>
          <w:tab w:val="clear" w:pos="1296"/>
          <w:tab w:val="left" w:pos="567" w:leader="none"/>
          <w:tab w:val="left" w:pos="851" w:leader="none"/>
        </w:tabs>
        <w:jc w:val="center"/>
        <w:rPr>
          <w:b/>
          <w:bCs/>
          <w:caps/>
        </w:rPr>
      </w:pPr>
      <w:r>
        <w:rPr>
          <w:b/>
          <w:bCs/>
          <w:caps/>
        </w:rPr>
        <w:t>paslaugų pirkimo-pardavimo sutarties Specialiosios sąlygos</w:t>
      </w:r>
    </w:p>
    <w:p>
      <w:pPr>
        <w:pStyle w:val="Normal"/>
        <w:jc w:val="center"/>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443"/>
        <w:gridCol w:w="2184"/>
        <w:gridCol w:w="2358"/>
        <w:gridCol w:w="2572"/>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spacing w:lineRule="atLeast" w:line="20" w:before="0" w:after="120"/>
              <w:contextualSpacing/>
              <w:jc w:val="both"/>
              <w:rPr>
                <w:b w:val="false"/>
                <w:bCs w:val="false"/>
                <w:sz w:val="24"/>
                <w:szCs w:val="24"/>
              </w:rPr>
            </w:pPr>
            <w:bookmarkStart w:id="0" w:name="_Hlk127525387"/>
            <w:bookmarkEnd w:id="0"/>
            <w:r>
              <w:rPr>
                <w:rFonts w:cs="Times New Roman"/>
                <w:b w:val="false"/>
                <w:bCs w:val="false"/>
                <w:sz w:val="24"/>
                <w:szCs w:val="24"/>
              </w:rPr>
              <w:t>VAIKŲ VASAROS UŽIMTUMO VEIKLŲ ORGANIZAVIMAS STIPRINANT VAIKŲ IR JŲ ŠEIMŲ SVEIKĄ GYVENSENĄ, ĮSKAITANT FIZINĘ IR PSICHIKOS SVEIKATĄ BEI PSICHOLOGINĮ ATSPARUMĄ</w:t>
            </w:r>
          </w:p>
          <w:p>
            <w:pPr>
              <w:pStyle w:val="NoSpacing"/>
              <w:tabs>
                <w:tab w:val="clear" w:pos="1296"/>
                <w:tab w:val="left" w:pos="993" w:leader="none"/>
              </w:tabs>
              <w:spacing w:before="0" w:after="0"/>
              <w:contextualSpacing/>
              <w:jc w:val="both"/>
              <w:rPr>
                <w:rFonts w:ascii="Times New Roman" w:hAnsi="Times New Roman" w:eastAsia="Times New Roman" w:cs="Times New Roman"/>
                <w:sz w:val="24"/>
                <w:szCs w:val="24"/>
                <w:lang w:val="lt-LT"/>
              </w:rPr>
            </w:pPr>
            <w:r>
              <w:rPr>
                <w:rFonts w:eastAsia="Times New Roman" w:cs="Times New Roman" w:ascii="Times New Roman" w:hAnsi="Times New Roman"/>
                <w:sz w:val="24"/>
                <w:szCs w:val="24"/>
                <w:lang w:val="lt-LT"/>
              </w:rPr>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358"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bl>
    <w:p>
      <w:pPr>
        <w:pStyle w:val="Normal"/>
        <w:jc w:val="both"/>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rPr>
                <w:b/>
                <w:bCs/>
              </w:rPr>
            </w:pPr>
            <w:r>
              <w:rPr>
                <w:b/>
                <w:bCs/>
              </w:rPr>
            </w:r>
          </w:p>
          <w:p>
            <w:pPr>
              <w:pStyle w:val="Normal"/>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Higienos institutas</w:t>
            </w:r>
          </w:p>
        </w:tc>
      </w:tr>
      <w:tr>
        <w:trPr>
          <w:trHeight w:val="350" w:hRule="atLeast"/>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111958286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Studentų g. 45A, 08107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Ne PVM mokėtoja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+370 5 262 4583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institutas@hi.lt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t>1.2. Tiekėjas</w:t>
            </w:r>
          </w:p>
          <w:p>
            <w:pPr>
              <w:pStyle w:val="Normal"/>
              <w:rPr>
                <w:color w:val="227ACB"/>
              </w:rPr>
            </w:pPr>
            <w:r>
              <w:rPr>
                <w:color w:val="227ACB"/>
              </w:rPr>
              <w:t>(jei Tiekėjas yra fizinis asmuo, skiltys atitinkamai pakoreguojamos.</w:t>
            </w:r>
          </w:p>
          <w:p>
            <w:pPr>
              <w:pStyle w:val="Normal"/>
              <w:rPr>
                <w:color w:val="227ACB"/>
              </w:rPr>
            </w:pPr>
            <w:r>
              <w:rPr>
                <w:color w:val="227ACB"/>
              </w:rPr>
              <w:t>Jei Tiekėjas yra tiekėjų grupė, skiltys pildomos įterpiant kiekvieno grupės nario informaciją)</w:t>
            </w:r>
          </w:p>
          <w:p>
            <w:pPr>
              <w:pStyle w:val="Normal"/>
              <w:rPr>
                <w:b/>
                <w:bCs/>
              </w:rPr>
            </w:pPr>
            <w:r>
              <w:rPr>
                <w:b/>
                <w:bCs/>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bl>
    <w:p>
      <w:pPr>
        <w:pStyle w:val="Normal"/>
        <w:jc w:val="both"/>
        <w:rPr/>
      </w:pPr>
      <w:r>
        <w:rPr/>
      </w:r>
    </w:p>
    <w:tbl>
      <w:tblPr>
        <w:tblW w:w="953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3055"/>
        <w:gridCol w:w="41"/>
        <w:gridCol w:w="20"/>
        <w:gridCol w:w="2111"/>
        <w:gridCol w:w="4307"/>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Sutartyje numatytomis sąlygomis suteikti Pirkėjui</w:t>
            </w:r>
          </w:p>
          <w:p>
            <w:pPr>
              <w:pStyle w:val="Normal"/>
              <w:widowControl w:val="false"/>
              <w:shd w:val="clear" w:color="auto" w:fill="FFFFFF" w:themeFill="background1"/>
              <w:tabs>
                <w:tab w:val="clear" w:pos="1296"/>
                <w:tab w:val="left" w:pos="426" w:leader="none"/>
              </w:tabs>
              <w:jc w:val="both"/>
              <w:rPr>
                <w:color w:val="00B0F0"/>
                <w:szCs w:val="24"/>
              </w:rPr>
            </w:pPr>
            <w:r>
              <w:rPr>
                <w:color w:val="00B0F0"/>
                <w:szCs w:val="24"/>
              </w:rPr>
            </w:r>
          </w:p>
          <w:p>
            <w:pPr>
              <w:pStyle w:val="Normal"/>
              <w:widowControl w:val="false"/>
              <w:shd w:val="clear" w:color="auto" w:fill="FFFFFF" w:themeFill="background1"/>
              <w:tabs>
                <w:tab w:val="clear" w:pos="1296"/>
                <w:tab w:val="left" w:pos="426" w:leader="none"/>
              </w:tabs>
              <w:jc w:val="both"/>
              <w:rPr>
                <w:color w:val="00B0F0"/>
                <w:szCs w:val="24"/>
              </w:rPr>
            </w:pPr>
            <w:r>
              <w:rPr>
                <w:color w:val="00B0F0"/>
                <w:szCs w:val="24"/>
              </w:rPr>
            </w:r>
          </w:p>
          <w:p>
            <w:pPr>
              <w:pStyle w:val="Normal"/>
              <w:widowControl w:val="false"/>
              <w:shd w:val="clear" w:color="auto" w:fill="FFFFFF" w:themeFill="background1"/>
              <w:tabs>
                <w:tab w:val="clear" w:pos="1296"/>
                <w:tab w:val="left" w:pos="426" w:leader="none"/>
              </w:tabs>
              <w:jc w:val="both"/>
              <w:rPr>
                <w:i/>
                <w:i/>
                <w:iCs/>
                <w:color w:val="2A6099"/>
                <w:lang w:val="lt-LT"/>
              </w:rPr>
            </w:pPr>
            <w:r>
              <w:rPr>
                <w:i/>
                <w:iCs/>
                <w:color w:val="2A6099"/>
                <w:lang w:val="lt-LT"/>
              </w:rPr>
              <w:t>[nurodyti pirkimo objektą pagal pirkimo dalį]</w:t>
            </w:r>
          </w:p>
          <w:p>
            <w:pPr>
              <w:pStyle w:val="Normal"/>
              <w:jc w:val="both"/>
              <w:rPr/>
            </w:pPr>
            <w:r>
              <w:rPr/>
            </w:r>
          </w:p>
          <w:p>
            <w:pPr>
              <w:pStyle w:val="Normal"/>
              <w:jc w:val="both"/>
              <w:rPr>
                <w:color w:val="227ACB"/>
              </w:rPr>
            </w:pPr>
            <w:r>
              <w:rPr/>
              <w:t>(toliau – Paslaugos).</w:t>
            </w:r>
          </w:p>
          <w:p>
            <w:pPr>
              <w:pStyle w:val="Normal"/>
              <w:jc w:val="both"/>
              <w:rPr/>
            </w:pPr>
            <w:r>
              <w:rPr/>
              <w:t>Išsamus Paslaugų aprašymas ir kiti reikalavimai teikiamoms Paslaugoms nustatyti</w:t>
            </w:r>
            <w:r>
              <w:rPr>
                <w:shd w:fill="FFFFFF" w:val="clear"/>
              </w:rPr>
              <w:t xml:space="preserve">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rFonts w:cs="Times New Roman"/>
                <w:b w:val="false"/>
                <w:bCs w:val="false"/>
                <w:sz w:val="24"/>
                <w:szCs w:val="24"/>
              </w:rPr>
              <w:t>Vaikų vasaros užimtumo veiklų organizavimas stiprinant vaikų ir jų šeimų sveiką gyvenseną, įskaitant fizinę ir psichinę sveikatą bei psichologinį atsparumą, paslaugos</w:t>
            </w:r>
            <w:r>
              <w:rPr/>
              <w:t xml:space="preserve"> (toliau – Paslaugos) </w:t>
            </w:r>
            <w:r>
              <w:rPr>
                <w:color w:val="227ACB"/>
              </w:rPr>
              <w:t>[</w:t>
            </w:r>
            <w:r>
              <w:rPr>
                <w:i/>
                <w:iCs/>
                <w:color w:val="227ACB"/>
              </w:rPr>
              <w:t>nurodyti pirkimo ID</w:t>
            </w:r>
            <w:r>
              <w:rPr>
                <w:color w:val="227ACB"/>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 w:val="left" w:pos="851" w:leader="none"/>
                <w:tab w:val="left" w:pos="993" w:leader="none"/>
              </w:tabs>
              <w:overflowPunct w:val="true"/>
              <w:jc w:val="both"/>
              <w:rPr>
                <w:shd w:fill="FFFFFF" w:val="clear"/>
              </w:rPr>
            </w:pPr>
            <w:r>
              <w:rPr>
                <w:shd w:fill="FFFFFF" w:val="clear"/>
              </w:rPr>
              <w:t>Netaikoma</w:t>
            </w:r>
          </w:p>
          <w:p>
            <w:pPr>
              <w:pStyle w:val="Normal"/>
              <w:widowControl w:val="false"/>
              <w:tabs>
                <w:tab w:val="clear" w:pos="1296"/>
                <w:tab w:val="left" w:pos="851" w:leader="none"/>
                <w:tab w:val="left" w:pos="993" w:leader="none"/>
              </w:tabs>
              <w:overflowPunct w:val="true"/>
              <w:jc w:val="both"/>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 xml:space="preserve">4. PASLAUGŲ SUTEIKIMO TERMINAI IR PASLAUGŲ PERDAVIMO </w:t>
            </w:r>
            <w:r>
              <w:rPr/>
              <w:t>–</w:t>
            </w:r>
            <w:r>
              <w:rPr>
                <w:b/>
                <w:bCs/>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suteikti Paslaugas Techninėje specifikacijoje nurodytais terminais ir sąlygomis.</w:t>
            </w:r>
          </w:p>
          <w:p>
            <w:pPr>
              <w:pStyle w:val="Normal"/>
              <w:jc w:val="both"/>
              <w:rPr/>
            </w:pPr>
            <w:r>
              <w:rPr/>
              <w:t>Paslaugų teikimo laikotarpis –</w:t>
            </w:r>
            <w:r>
              <w:rPr>
                <w:b/>
                <w:bCs/>
              </w:rPr>
              <w:t xml:space="preserve"> </w:t>
            </w:r>
            <w:r>
              <w:rPr/>
              <w:t>[</w:t>
            </w:r>
            <w:r>
              <w:rPr>
                <w:i/>
                <w:iCs/>
                <w:shd w:fill="B2B2B2" w:val="clear"/>
              </w:rPr>
              <w:t>nurodyti pagal kiekvieną dalį</w:t>
            </w:r>
            <w:r>
              <w:rPr/>
              <w:t>] mėnesiai nuo Sutarties sudarymo ir įsigaliojimo dienos.</w:t>
            </w:r>
          </w:p>
          <w:p>
            <w:pPr>
              <w:pStyle w:val="Normal"/>
              <w:jc w:val="both"/>
              <w:rPr/>
            </w:pPr>
            <w:r>
              <w:rPr/>
              <w:t>[</w:t>
            </w:r>
            <w:r>
              <w:rPr>
                <w:i/>
                <w:iCs/>
                <w:shd w:fill="B2B2B2" w:val="clear"/>
              </w:rPr>
              <w:t>taikoma I  ir III dalims]</w:t>
            </w:r>
            <w:r>
              <w:rPr/>
              <w:t xml:space="preserve"> Perkančioji organizacija per 5 darbo dienas informuos ar bus poreikis suorganizuoti papildomas stovyklas iki 40 vaikų.</w:t>
            </w:r>
          </w:p>
          <w:p>
            <w:pPr>
              <w:pStyle w:val="Normal"/>
              <w:jc w:val="both"/>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1063"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rPr/>
            </w:pPr>
            <w:r>
              <w:rPr/>
              <w:t>Netaikoma</w:t>
            </w:r>
          </w:p>
          <w:p>
            <w:pPr>
              <w:pStyle w:val="Normal"/>
              <w:rPr/>
            </w:pPr>
            <w:r>
              <w:rPr/>
            </w:r>
          </w:p>
        </w:tc>
      </w:tr>
      <w:tr>
        <w:trPr>
          <w:trHeight w:val="737"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jc w:val="both"/>
              <w:rPr/>
            </w:pPr>
            <w:r>
              <w:rPr/>
              <w:t>Turi būti pateikiami šie dokumentai:</w:t>
            </w:r>
          </w:p>
          <w:p>
            <w:pPr>
              <w:pStyle w:val="ListParagraph"/>
              <w:numPr>
                <w:ilvl w:val="0"/>
                <w:numId w:val="1"/>
              </w:numPr>
              <w:jc w:val="both"/>
              <w:rPr>
                <w:rFonts w:eastAsia="Times New Roman"/>
                <w:sz w:val="24"/>
                <w:szCs w:val="24"/>
              </w:rPr>
            </w:pPr>
            <w:r>
              <w:rPr>
                <w:rFonts w:eastAsia="Times New Roman"/>
                <w:sz w:val="24"/>
                <w:szCs w:val="24"/>
              </w:rPr>
              <w:t>Paslaugų perdavimo-priėmimo aktas;</w:t>
            </w:r>
          </w:p>
          <w:p>
            <w:pPr>
              <w:pStyle w:val="ListParagraph"/>
              <w:numPr>
                <w:ilvl w:val="0"/>
                <w:numId w:val="1"/>
              </w:numPr>
              <w:jc w:val="both"/>
              <w:rPr>
                <w:rFonts w:eastAsia="Times New Roman"/>
                <w:sz w:val="24"/>
                <w:szCs w:val="24"/>
              </w:rPr>
            </w:pPr>
            <w:r>
              <w:rPr>
                <w:rFonts w:eastAsia="Times New Roman"/>
                <w:sz w:val="24"/>
                <w:szCs w:val="24"/>
              </w:rPr>
              <w:t>Sąskaita.</w:t>
            </w:r>
          </w:p>
          <w:p>
            <w:pPr>
              <w:pStyle w:val="Normal"/>
              <w:jc w:val="both"/>
              <w:rPr/>
            </w:pPr>
            <w:r>
              <w:rPr/>
              <w:t>Tiekėjui nepateikus nurodytų dokumentų, laikoma, kad Paslaugos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Fiksuoto įkainio kainodara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Pradinės Sutarties vertė yra </w:t>
            </w:r>
            <w:r>
              <w:rPr>
                <w:color w:val="227ACB"/>
              </w:rPr>
              <w:t>(nurodyti sumą skaičiais)</w:t>
            </w:r>
            <w:r>
              <w:rPr/>
              <w:t xml:space="preserve"> Eur </w:t>
            </w:r>
            <w:r>
              <w:rPr>
                <w:color w:val="227ACB"/>
              </w:rPr>
              <w:t>(nurodyti sumą žodžiais)</w:t>
            </w:r>
            <w:r>
              <w:rPr/>
              <w:t xml:space="preserve"> be PVM.</w:t>
            </w:r>
          </w:p>
          <w:p>
            <w:pPr>
              <w:pStyle w:val="Normal"/>
              <w:jc w:val="both"/>
              <w:rPr>
                <w:color w:val="227ACB"/>
              </w:rPr>
            </w:pPr>
            <w:r>
              <w:rPr/>
              <w:t xml:space="preserve">PVM sudaro </w:t>
            </w:r>
            <w:r>
              <w:rPr>
                <w:color w:val="227ACB"/>
              </w:rPr>
              <w:t>(nurodyti sumą skaičiais)</w:t>
            </w:r>
            <w:r>
              <w:rPr/>
              <w:t xml:space="preserve"> Eur </w:t>
            </w:r>
            <w:r>
              <w:rPr>
                <w:color w:val="227ACB"/>
              </w:rPr>
              <w:t>(nurodyti sumą žodžiais).</w:t>
            </w:r>
          </w:p>
          <w:p>
            <w:pPr>
              <w:pStyle w:val="Normal"/>
              <w:jc w:val="both"/>
              <w:rPr/>
            </w:pPr>
            <w:r>
              <w:rPr/>
              <w:t xml:space="preserve">Sutarties kaina yra </w:t>
            </w:r>
            <w:r>
              <w:rPr>
                <w:color w:val="227ACB"/>
              </w:rPr>
              <w:t>(nurodyti sumą skaičiais)</w:t>
            </w:r>
            <w:r>
              <w:rPr/>
              <w:t xml:space="preserve"> Eur </w:t>
            </w:r>
            <w:r>
              <w:rPr>
                <w:color w:val="227ACB"/>
              </w:rPr>
              <w:t>(nurodyti sumą</w:t>
            </w:r>
            <w:r>
              <w:rPr/>
              <w:t xml:space="preserve"> </w:t>
            </w:r>
            <w:r>
              <w:rPr>
                <w:color w:val="227ACB"/>
              </w:rPr>
              <w:t>žodžiais)</w:t>
            </w:r>
            <w:r>
              <w:rPr/>
              <w:t xml:space="preserve"> su PVM.</w:t>
            </w:r>
          </w:p>
          <w:p>
            <w:pPr>
              <w:pStyle w:val="Normal"/>
              <w:jc w:val="both"/>
              <w:rPr/>
            </w:pPr>
            <w:r>
              <w:rPr/>
              <w:t>Šioje Sutartyje Pradinės Sutarties vertė yra lygi Tiekėjo pasiūlymo kainai be PVM, nurodytai už visą pirkimo dokumentuose ir Sutartyje nurodytą Paslaugų kiekį ir (ar) apimtį.</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Sutarties  kaina bus perskaičiuojami:</w:t>
            </w:r>
          </w:p>
          <w:p>
            <w:pPr>
              <w:pStyle w:val="Normal"/>
              <w:rPr/>
            </w:pPr>
            <w:r>
              <w:rPr/>
              <w:t>5.3.1. dėl PVM tarifo pasikeitimo.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pPr>
              <w:pStyle w:val="Normal"/>
              <w:jc w:val="both"/>
              <w:rPr/>
            </w:pPr>
            <w:r>
              <w:rPr/>
            </w:r>
          </w:p>
          <w:p>
            <w:pPr>
              <w:pStyle w:val="Normal"/>
              <w:jc w:val="both"/>
              <w:rPr/>
            </w:pPr>
            <w:r>
              <w:rP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5.3.2.</w:t>
            </w:r>
            <w:r>
              <w:rP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5.3.3. Sutarties įkainių peržiūra dėl kainų lygio pokyčio</w:t>
            </w:r>
          </w:p>
          <w:p>
            <w:pPr>
              <w:pStyle w:val="Normal"/>
              <w:rPr/>
            </w:pPr>
            <w:r>
              <w:rPr/>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shd w:fill="FFFFFF" w:val="clear"/>
              </w:rPr>
            </w:pPr>
            <w:r>
              <w:rPr>
                <w:shd w:fill="FFFFFF" w:val="clea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color w:val="FF0000"/>
              </w:rPr>
            </w:pPr>
            <w:r>
              <w:rPr>
                <w:color w:val="FF0000"/>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Pirkėjas atsiskaito su Tiekėju ne vėliau kaip per 30 kalendorinių dienų nuo Sąskaitos gavimo dienos.</w:t>
            </w:r>
          </w:p>
          <w:p>
            <w:pPr>
              <w:pStyle w:val="Normal"/>
              <w:jc w:val="both"/>
              <w:rPr/>
            </w:pPr>
            <w:r>
              <w:rPr/>
            </w:r>
          </w:p>
          <w:p>
            <w:pPr>
              <w:pStyle w:val="Normal"/>
              <w:jc w:val="both"/>
              <w:rPr/>
            </w:pPr>
            <w:r>
              <w:rPr/>
              <w:t>Apmokėjimo sąlygos:</w:t>
            </w:r>
          </w:p>
          <w:p>
            <w:pPr>
              <w:pStyle w:val="ListParagraph"/>
              <w:numPr>
                <w:ilvl w:val="0"/>
                <w:numId w:val="2"/>
              </w:numPr>
              <w:tabs>
                <w:tab w:val="clear" w:pos="1296"/>
                <w:tab w:val="left" w:pos="306" w:leader="none"/>
              </w:tabs>
              <w:spacing w:before="0" w:after="160"/>
              <w:ind w:hanging="0" w:left="0"/>
              <w:contextualSpacing/>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galiojimo metu nustačius Paslaugų trūkumų, Tiekėjas turi </w:t>
            </w:r>
            <w:r>
              <w:rPr>
                <w:b/>
                <w:bCs/>
              </w:rPr>
              <w:t>ne vėliau kaip</w:t>
            </w:r>
            <w:r>
              <w:rPr/>
              <w:t> per 5 (penkias) darbo dienas nuo rašytinės pretenzijos gavimo dienos pašalinti Paslaugų trūkumus.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Jei paslaugas teikia specialistai turintys žemesnę kvalifikaciją (kuri buvo vertinama pagal ekonominio naudingumo kriterijus), nei nurodyta Tiekėjo buvo pasiūlyme, tai už tokias vaikų stovyklas nėra apmokama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vykdymui subtiekėjai ir (ar) specialistai nepasitelkiami.</w:t>
            </w:r>
          </w:p>
          <w:p>
            <w:pPr>
              <w:pStyle w:val="Normal"/>
              <w:jc w:val="both"/>
              <w:rPr/>
            </w:pPr>
            <w:r>
              <w:rPr/>
            </w:r>
          </w:p>
          <w:p>
            <w:pPr>
              <w:pStyle w:val="Normal"/>
              <w:jc w:val="both"/>
              <w:rPr>
                <w:color w:val="227ACB"/>
              </w:rPr>
            </w:pPr>
            <w:r>
              <w:rPr>
                <w:color w:val="227ACB"/>
              </w:rPr>
              <w:t>arba</w:t>
            </w:r>
          </w:p>
          <w:p>
            <w:pPr>
              <w:pStyle w:val="Normal"/>
              <w:jc w:val="both"/>
              <w:rPr/>
            </w:pPr>
            <w:r>
              <w:rPr/>
            </w:r>
          </w:p>
          <w:p>
            <w:pPr>
              <w:pStyle w:val="Normal"/>
              <w:jc w:val="both"/>
              <w:rPr/>
            </w:pPr>
            <w:r>
              <w:rPr/>
              <w:t>Sutarties vykdymui pasitelkiami subtiekėjai ir (ar) specialistai yra nurodyti Sutarties priede Nr. 3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Prievolių pagal Sutartį įvykdymas užtikrinamas:</w:t>
            </w:r>
          </w:p>
          <w:p>
            <w:pPr>
              <w:pStyle w:val="Normal"/>
              <w:rPr/>
            </w:pPr>
            <w:r>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9.2.1. Jeigu Tiekėjas vėluoja suteikti Paslaugas arba nevykdo kitų sutartinių įsipareigojimų, Pirkėjas nuo kitos nei nustatytas terminas dienos Tiekėjui skaičiuoja 30 eurų netęsybos už kiekvieną dieną.</w:t>
            </w:r>
          </w:p>
          <w:p>
            <w:pPr>
              <w:pStyle w:val="Normal"/>
              <w:jc w:val="both"/>
              <w:rPr/>
            </w:pPr>
            <w:r>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widowControl w:val="false"/>
              <w:tabs>
                <w:tab w:val="clear" w:pos="1296"/>
                <w:tab w:val="left" w:pos="5760" w:leader="none"/>
              </w:tabs>
              <w:spacing w:before="0" w:after="120"/>
              <w:jc w:val="both"/>
              <w:rPr/>
            </w:pPr>
            <w:r>
              <w:rPr/>
              <w:t>9.2.3. Tiekėjas privalo sumokėti Pirkėjui netesybas per 10 kalendorinių</w:t>
            </w:r>
            <w:r>
              <w:rPr>
                <w:bCs/>
              </w:rPr>
              <w:t xml:space="preserve"> </w:t>
            </w:r>
            <w:r>
              <w:rPr/>
              <w:t>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9.3.1. Nutraukus Sutartį dėl esminio Sutarties pažeidimo, nustatyto Sutarties Specialiosiose sąlygose, mokama 10 procentų dydžio bauda nuo Pradinės Sutarties vertės, nurodytos Specialiųjų sąlygų 5.2 punkte.</w:t>
            </w:r>
          </w:p>
          <w:p>
            <w:pPr>
              <w:pStyle w:val="Normal"/>
              <w:jc w:val="both"/>
              <w:rPr/>
            </w:pPr>
            <w:r>
              <w:rPr/>
            </w:r>
          </w:p>
          <w:p>
            <w:pPr>
              <w:pStyle w:val="Normal"/>
              <w:jc w:val="both"/>
              <w:rPr/>
            </w:pPr>
            <w:r>
              <w:rPr/>
              <w:t>9.3.2. Nepagrįstai nutraukus Sutarties vykdymą ne Sutartyje nustatyta tvarka, mokama 10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Other"/>
              <w:tabs>
                <w:tab w:val="clear" w:pos="1296"/>
                <w:tab w:val="left" w:pos="1829" w:leader="none"/>
                <w:tab w:val="left" w:pos="3130" w:leader="none"/>
                <w:tab w:val="left" w:pos="4205" w:leader="none"/>
              </w:tabs>
              <w:jc w:val="both"/>
              <w:rPr>
                <w:i w:val="false"/>
                <w:i w:val="false"/>
                <w:iCs w:val="false"/>
                <w:sz w:val="24"/>
                <w:szCs w:val="24"/>
              </w:rPr>
            </w:pPr>
            <w:r>
              <w:rPr>
                <w:i w:val="false"/>
                <w:iCs w:val="false"/>
                <w:sz w:val="24"/>
                <w:szCs w:val="24"/>
              </w:rPr>
              <w:t>500,00 Eur (taikoma už kiekvieną atvejį atskirai)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76"/>
              <w:jc w:val="both"/>
              <w:rPr/>
            </w:pPr>
            <w:r>
              <w:rPr/>
              <w:t>Netaikoma</w:t>
            </w:r>
          </w:p>
          <w:p>
            <w:pPr>
              <w:pStyle w:val="Normal"/>
              <w:spacing w:lineRule="auto" w:line="276"/>
              <w:jc w:val="both"/>
              <w:rPr/>
            </w:pPr>
            <w:r>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bCs/>
                <w:kern w:val="2"/>
                <w:szCs w:val="24"/>
              </w:rPr>
            </w:pPr>
            <w:r>
              <w:rPr>
                <w:bCs/>
                <w:kern w:val="2"/>
                <w:szCs w:val="24"/>
              </w:rPr>
              <w:t>10.1.1. Paslaugų suteikimo terminas;</w:t>
            </w:r>
          </w:p>
          <w:p>
            <w:pPr>
              <w:pStyle w:val="Normal"/>
              <w:jc w:val="both"/>
              <w:rPr>
                <w:b/>
                <w:bCs/>
                <w:color w:val="4472C4"/>
                <w:kern w:val="2"/>
                <w:szCs w:val="24"/>
              </w:rPr>
            </w:pPr>
            <w:r>
              <w:rPr>
                <w:bCs/>
                <w:kern w:val="2"/>
                <w:szCs w:val="24"/>
              </w:rPr>
              <w:t>10.1.2. Paslaugų kokybė, paslaugų techniniai parametrai nurodyti techninėje specifikacijoje.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1296"/>
                <w:tab w:val="left" w:pos="451" w:leader="none"/>
              </w:tabs>
              <w:jc w:val="both"/>
              <w:rPr>
                <w:kern w:val="2"/>
                <w:szCs w:val="24"/>
              </w:rPr>
            </w:pPr>
            <w:r>
              <w:rPr>
                <w:kern w:val="2"/>
                <w:szCs w:val="24"/>
              </w:rPr>
              <w:t>10.2.2. Paslaugų termino/ etapo termino pažeidimas ilgiau nei 30 dienų;</w:t>
            </w:r>
          </w:p>
          <w:p>
            <w:pPr>
              <w:pStyle w:val="Normal"/>
              <w:jc w:val="both"/>
              <w:rPr>
                <w:kern w:val="2"/>
                <w:szCs w:val="24"/>
              </w:rPr>
            </w:pPr>
            <w:r>
              <w:rPr>
                <w:kern w:val="2"/>
                <w:szCs w:val="24"/>
              </w:rPr>
              <w:t>10.2.2. Paslaugų neatitikimas kokybės reikalavimams.</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Ši Sutartis laikoma sudaryta ir įsigalioja nuo Sutarties pasirašymo dienos (antrosios Šalies pasirašymo dieną).</w:t>
            </w:r>
          </w:p>
          <w:p>
            <w:pPr>
              <w:pStyle w:val="Normal"/>
              <w:jc w:val="both"/>
              <w:rPr/>
            </w:pPr>
            <w:r>
              <w:rPr/>
              <w:t>Sutartis galioja iki visiško prievolių įvykdymo (kol bus išnaudota Pradinės Sutarties vertė), bet jos terminas negali būti ilgesnis kaip [</w:t>
            </w:r>
            <w:r>
              <w:rPr>
                <w:i/>
                <w:iCs/>
                <w:shd w:fill="B2B2B2" w:val="clear"/>
              </w:rPr>
              <w:t>nurodyti pagal kiekvieną pirkimo dalį</w:t>
            </w:r>
            <w:r>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12.2.1. jeigu Tiekėjas nevykdo prisiimtų įsipareigojimų už Sutartyje nustatytą Sutarties kainą / įkainius;</w:t>
            </w:r>
          </w:p>
          <w:p>
            <w:pPr>
              <w:pStyle w:val="Normal"/>
              <w:jc w:val="both"/>
              <w:rPr>
                <w:rFonts w:eastAsia="Arial"/>
              </w:rPr>
            </w:pPr>
            <w:r>
              <w:rP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12.2.7. Tiekėjas pažeidžia šios Sutarties nuostatas, reglamentuojančias konkurenciją, intelektinės nuosavybės ar konfidencialios informacijos valdymą;</w:t>
            </w:r>
          </w:p>
          <w:p>
            <w:pPr>
              <w:pStyle w:val="Normal"/>
              <w:spacing w:lineRule="auto" w:line="252"/>
              <w:jc w:val="both"/>
              <w:rPr>
                <w:shd w:fill="FFFFFF" w:val="clear"/>
              </w:rPr>
            </w:pPr>
            <w:r>
              <w:rPr>
                <w:rFonts w:eastAsia="Arial"/>
              </w:rPr>
              <w:t>12.2.8.</w:t>
            </w:r>
            <w:r>
              <w:rPr>
                <w:shd w:fill="FFFFFF" w:val="clear"/>
              </w:rPr>
              <w:t xml:space="preserve"> Tiekėjas ir (ar) jungtinės veiklos parneris (jei taikoma), ir (ar) subtiekėjas (jei taikoma) paslaugų</w:t>
            </w:r>
            <w:r>
              <w:rPr/>
              <w:t>, kurioms Sutartyje nustatyti aplinkos apsaugos vadybos sistemos reikalavimai,</w:t>
            </w:r>
            <w:r>
              <w:rPr>
                <w:shd w:fill="FFFFFF" w:val="clear"/>
              </w:rPr>
              <w:t xml:space="preserve"> teikimo metu</w:t>
            </w:r>
            <w:r>
              <w:rPr/>
              <w:t xml:space="preserve">, </w:t>
            </w:r>
            <w:r>
              <w:rPr>
                <w:shd w:fill="FFFFFF" w:val="clear"/>
              </w:rPr>
              <w:t>neturi galiojančio aplinkos apsaugos vadybos sistemos sertifikato, ir (ar) nepateikia sertifikato pratęsimo (neįsigyja naujo);</w:t>
            </w:r>
          </w:p>
          <w:p>
            <w:pPr>
              <w:pStyle w:val="Normal"/>
              <w:jc w:val="both"/>
              <w:rPr/>
            </w:pPr>
            <w:r>
              <w:rPr>
                <w:rFonts w:eastAsia="Arial"/>
              </w:rPr>
              <w:t>12.2.9. Tiekėjas 2 (du) kartus pažeidžia esminę Sutarties sąlygą.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tabs>
                <w:tab w:val="clear" w:pos="1296"/>
                <w:tab w:val="left" w:pos="851" w:leader="none"/>
                <w:tab w:val="left" w:pos="993" w:leader="none"/>
              </w:tabs>
              <w:suppressAutoHyphens w:val="false"/>
              <w:overflowPunct w:val="true"/>
              <w:jc w:val="both"/>
              <w:rPr/>
            </w:pPr>
            <w:r>
              <w:rPr/>
              <w:t>13.1.1. Vadovaujantis Lietuvos Respublikos aplinkos ministro 2011 m. birželio 28 d. įsakymo Nr. D1-508 „</w:t>
            </w:r>
            <w:hyperlink r:id="rId4">
              <w:r>
                <w:rPr>
                  <w:rStyle w:val="Hyperlink"/>
                  <w:color w:val="0070C0"/>
                </w:rPr>
                <w:t>Dėl Aplinkos apsaugos kriterijų taikymo, vykdant žaliuosius pirkimus, tvarkos aprašo patvirtinimo</w:t>
              </w:r>
            </w:hyperlink>
            <w:r>
              <w:rPr/>
              <w:t>“ (toliau - Tvarkos aprašas) 4 punktu, pirkimas laikomas žaliuoju, nes atitinka 4.4.3 papunktyje nustatytas sąlygas:</w:t>
            </w:r>
          </w:p>
          <w:p>
            <w:pPr>
              <w:pStyle w:val="Normal"/>
              <w:tabs>
                <w:tab w:val="clear" w:pos="1296"/>
                <w:tab w:val="left" w:pos="851" w:leader="none"/>
                <w:tab w:val="left" w:pos="993" w:leader="none"/>
              </w:tabs>
              <w:suppressAutoHyphens w:val="false"/>
              <w:overflowPunct w:val="true"/>
              <w:jc w:val="both"/>
              <w:rPr/>
            </w:pPr>
            <w:r>
              <w:rP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shd w:fill="FFFFFF" w:val="clea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14. BENDRŲJŲ SĄLYGŲ PAKEITIMAI IR PAPILDYMAI</w:t>
            </w:r>
          </w:p>
          <w:p>
            <w:pPr>
              <w:pStyle w:val="Normal"/>
              <w:jc w:val="center"/>
              <w:rPr/>
            </w:pPr>
            <w:r>
              <w:rPr/>
            </w:r>
          </w:p>
        </w:tc>
      </w:tr>
      <w:tr>
        <w:trPr>
          <w:trHeight w:val="300" w:hRule="atLeast"/>
        </w:trPr>
        <w:tc>
          <w:tcPr>
            <w:tcW w:w="3116" w:type="dxa"/>
            <w:gridSpan w:val="3"/>
            <w:tcBorders>
              <w:top w:val="single" w:sz="4" w:space="0" w:color="000000"/>
              <w:left w:val="single" w:sz="4" w:space="0" w:color="000000"/>
              <w:bottom w:val="single" w:sz="4" w:space="0" w:color="000000"/>
              <w:right w:val="single" w:sz="4" w:space="0" w:color="000000"/>
            </w:tcBorders>
          </w:tcPr>
          <w:p>
            <w:pPr>
              <w:pStyle w:val="Normal"/>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pPr>
              <w:pStyle w:val="Normal"/>
              <w:rPr/>
            </w:pPr>
            <w:r>
              <w:rPr/>
              <w:t>Šalys susitaria papildyti Sutarties Bendrąsias sąlygas nurodytu punktu, tačiau numeracijos nekeisti:</w:t>
            </w:r>
          </w:p>
          <w:p>
            <w:pPr>
              <w:pStyle w:val="Normal"/>
              <w:rPr/>
            </w:pPr>
            <w:r>
              <w:rPr/>
              <w:t>14.2. Asmens duomenys:</w:t>
            </w:r>
          </w:p>
          <w:p>
            <w:pPr>
              <w:pStyle w:val="Normal"/>
              <w:rPr/>
            </w:pPr>
            <w:r>
              <w:rP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pPr>
              <w:pStyle w:val="Normal"/>
              <w:rPr/>
            </w:pPr>
            <w:r>
              <w:rP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pPr>
              <w:pStyle w:val="Normal"/>
              <w:rPr/>
            </w:pPr>
            <w:r>
              <w:rP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pPr>
              <w:pStyle w:val="Normal"/>
              <w:rPr/>
            </w:pPr>
            <w:r>
              <w:rP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pPr>
              <w:pStyle w:val="Normal"/>
              <w:rPr/>
            </w:pPr>
            <w:r>
              <w:rP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pPr>
              <w:pStyle w:val="Normal"/>
              <w:rPr/>
            </w:pPr>
            <w:r>
              <w:rP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pPr>
              <w:pStyle w:val="Normal"/>
              <w:rPr/>
            </w:pPr>
            <w:r>
              <w:rP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pPr>
              <w:pStyle w:val="Normal"/>
              <w:rPr/>
            </w:pPr>
            <w:r>
              <w:rP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pPr>
              <w:pStyle w:val="Normal"/>
              <w:rPr/>
            </w:pPr>
            <w:r>
              <w:rPr/>
              <w:t>14.2.9. Paslaugų teikėjas, teikdamas paslaugas tvarkys vaikų stovyklų dalyvių asmens duomenis kaip duomenų tvarkytojas Perkančiosios organizacijos vardu ir pagal jos nurodymus, laikydamasis Šalių pasirašytoje asmens duomenų tvarkymo sutartyje nurodytų sąlygų.</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Pasiūlymas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pPr>
              <w:pStyle w:val="Normal"/>
              <w:jc w:val="both"/>
              <w:rPr>
                <w:i/>
                <w:i/>
                <w:iCs/>
              </w:rPr>
            </w:pPr>
            <w:r>
              <w:rPr/>
              <w:t xml:space="preserve">Sutarties vykdymui pasitelkiami subtiekėjai ir (ar) specialistai </w:t>
            </w:r>
            <w:r>
              <w:rPr>
                <w:i/>
                <w:iCs/>
              </w:rPr>
              <w:t>(pridedamas, jei pasitelkiami subtiekėjai ir (ar) specialistai)</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pPr>
              <w:pStyle w:val="Normal"/>
              <w:rPr/>
            </w:pPr>
            <w:r>
              <w:rPr/>
              <w:t>Asmens duomenų tvarkymo sutartis</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16. ŠALIŲ ATSTOVŲ PARAŠAI</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TIEKĖJAS</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p>
            <w:pPr>
              <w:pStyle w:val="Normal"/>
              <w:jc w:val="center"/>
              <w:rPr>
                <w:b/>
                <w:bCs/>
                <w:color w:val="4472C4"/>
              </w:rPr>
            </w:pPr>
            <w:r>
              <w:rPr>
                <w:b/>
                <w:bCs/>
                <w:color w:val="4472C4"/>
              </w:rPr>
            </w:r>
          </w:p>
          <w:p>
            <w:pPr>
              <w:pStyle w:val="Normal"/>
              <w:jc w:val="center"/>
              <w:rPr>
                <w:b/>
                <w:bCs/>
                <w:color w:val="4472C4"/>
              </w:rPr>
            </w:pPr>
            <w:r>
              <w:rPr>
                <w:b/>
                <w:bCs/>
                <w:color w:val="4472C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tc>
      </w:tr>
    </w:tbl>
    <w:p>
      <w:pPr>
        <w:pStyle w:val="Normal"/>
        <w:rPr/>
      </w:pPr>
      <w:r>
        <w:rPr/>
      </w:r>
    </w:p>
    <w:p>
      <w:pPr>
        <w:pStyle w:val="Normal"/>
        <w:tabs>
          <w:tab w:val="clear" w:pos="1296"/>
          <w:tab w:val="left" w:pos="5400" w:leader="none"/>
        </w:tabs>
        <w:jc w:val="center"/>
        <w:textAlignment w:val="center"/>
        <w:rPr>
          <w:b/>
          <w:bCs/>
        </w:rPr>
      </w:pPr>
      <w:r>
        <w:rPr>
          <w:b/>
          <w:bCs/>
        </w:rPr>
        <w:t>______________</w:t>
      </w:r>
    </w:p>
    <w:p>
      <w:pPr>
        <w:pStyle w:val="Normal"/>
        <w:rPr/>
      </w:pPr>
      <w:r>
        <w:rPr/>
      </w:r>
    </w:p>
    <w:p>
      <w:pPr>
        <w:pStyle w:val="Normal"/>
        <w:rPr/>
      </w:pPr>
      <w:r>
        <w:rPr/>
      </w:r>
    </w:p>
    <w:p>
      <w:pPr>
        <w:pStyle w:val="Normal"/>
        <w:overflowPunct w:val="true"/>
        <w:rPr/>
      </w:pPr>
      <w:r>
        <w:rPr/>
      </w:r>
      <w:r>
        <w:br w:type="page"/>
      </w:r>
    </w:p>
    <w:p>
      <w:pPr>
        <w:pStyle w:val="Normal"/>
        <w:spacing w:before="0" w:after="0"/>
        <w:jc w:val="right"/>
        <w:rPr/>
      </w:pPr>
      <w:r>
        <w:rPr/>
        <w:t>Priedas Nr. 4</w:t>
      </w:r>
    </w:p>
    <w:p>
      <w:pPr>
        <w:pStyle w:val="Normal"/>
        <w:rPr>
          <w:b/>
          <w:iCs/>
        </w:rPr>
      </w:pPr>
      <w:r>
        <w:rPr>
          <w:b/>
          <w:iCs/>
        </w:rPr>
      </w:r>
    </w:p>
    <w:p>
      <w:pPr>
        <w:pStyle w:val="Normal"/>
        <w:jc w:val="center"/>
        <w:rPr>
          <w:b/>
        </w:rPr>
      </w:pPr>
      <w:r>
        <w:rPr>
          <w:b/>
        </w:rPr>
        <w:t>ASMENS DUOMENŲ TVARKYMO SUTARTIS</w:t>
      </w:r>
    </w:p>
    <w:p>
      <w:pPr>
        <w:pStyle w:val="Normal"/>
        <w:jc w:val="center"/>
        <w:rPr>
          <w:b/>
        </w:rPr>
      </w:pPr>
      <w:r>
        <w:rPr>
          <w:b/>
        </w:rPr>
      </w:r>
    </w:p>
    <w:p>
      <w:pPr>
        <w:pStyle w:val="Normal"/>
        <w:jc w:val="center"/>
        <w:rPr>
          <w:bCs/>
        </w:rPr>
      </w:pPr>
      <w:r>
        <w:rPr>
          <w:bCs/>
        </w:rPr>
        <w:t>................ m. ................................ d.</w:t>
      </w:r>
    </w:p>
    <w:p>
      <w:pPr>
        <w:pStyle w:val="Normal"/>
        <w:jc w:val="center"/>
        <w:rPr/>
      </w:pPr>
      <w:r>
        <w:rPr/>
        <w:t>Vilnius</w:t>
      </w:r>
    </w:p>
    <w:p>
      <w:pPr>
        <w:pStyle w:val="Normal"/>
        <w:rPr/>
      </w:pPr>
      <w:r>
        <w:rPr/>
      </w:r>
    </w:p>
    <w:p>
      <w:pPr>
        <w:pStyle w:val="Normal"/>
        <w:jc w:val="both"/>
        <w:rPr/>
      </w:pPr>
      <w:r>
        <w:rPr/>
        <w:t xml:space="preserve">Pirkėjas – (įvardyti Pirkėją, jį atstovaujantį asmenį ir teisinį atstovavimo pagrindą) </w:t>
      </w:r>
      <w:r>
        <w:rPr>
          <w:b/>
          <w:bCs/>
        </w:rPr>
        <w:t>(toliau – Duomenų valdytojas)</w:t>
      </w:r>
      <w:r>
        <w:rPr/>
        <w:t>, iš vienos pusės</w:t>
      </w:r>
    </w:p>
    <w:p>
      <w:pPr>
        <w:pStyle w:val="Normal"/>
        <w:jc w:val="both"/>
        <w:rPr/>
      </w:pPr>
      <w:r>
        <w:rPr/>
        <w:t>ir</w:t>
      </w:r>
    </w:p>
    <w:p>
      <w:pPr>
        <w:pStyle w:val="Normal"/>
        <w:jc w:val="both"/>
        <w:rPr/>
      </w:pPr>
      <w:r>
        <w:rPr/>
        <w:t xml:space="preserve">Paslaugų teikėjas – (įvardyti Paslaugų teikėją, jį atstovaujantį asmenį ir teisinį atstovavimo pagrindą) </w:t>
      </w:r>
      <w:r>
        <w:rPr>
          <w:b/>
          <w:bCs/>
        </w:rPr>
        <w:t xml:space="preserve">(toliau – Duomenų tvarkytojas) </w:t>
      </w:r>
      <w:r>
        <w:rPr/>
        <w:t xml:space="preserve">iš kitos pusės, </w:t>
      </w:r>
    </w:p>
    <w:p>
      <w:pPr>
        <w:pStyle w:val="Normal"/>
        <w:jc w:val="both"/>
        <w:rPr/>
      </w:pPr>
      <w:r>
        <w:rPr/>
      </w:r>
    </w:p>
    <w:p>
      <w:pPr>
        <w:pStyle w:val="Normal"/>
        <w:jc w:val="both"/>
        <w:rPr>
          <w:bCs/>
        </w:rPr>
      </w:pPr>
      <w:r>
        <w:rPr/>
        <w:t xml:space="preserve">toliau kartu vadinami </w:t>
      </w:r>
      <w:r>
        <w:rPr>
          <w:bCs/>
        </w:rPr>
        <w:t>Šalimis, o kiekvienas atskirai – Šalimi, sudarė šią Asmens duomenų tvarkymo sutartį (toliau – Sutartis).</w:t>
      </w:r>
    </w:p>
    <w:p>
      <w:pPr>
        <w:pStyle w:val="Normal"/>
        <w:jc w:val="both"/>
        <w:rPr/>
      </w:pPr>
      <w:r>
        <w:rPr/>
      </w:r>
    </w:p>
    <w:p>
      <w:pPr>
        <w:pStyle w:val="Normal"/>
        <w:jc w:val="center"/>
        <w:rPr>
          <w:b/>
        </w:rPr>
      </w:pPr>
      <w:r>
        <w:rPr>
          <w:b/>
        </w:rPr>
        <w:t>1</w:t>
      </w:r>
      <w:r>
        <w:rPr/>
        <w:t xml:space="preserve">. </w:t>
      </w:r>
      <w:r>
        <w:rPr>
          <w:b/>
          <w:bCs/>
        </w:rPr>
        <w:t>SUTARTIES DALYKAS</w:t>
      </w:r>
    </w:p>
    <w:p>
      <w:pPr>
        <w:pStyle w:val="Normal"/>
        <w:rPr/>
      </w:pPr>
      <w:r>
        <w:rPr/>
      </w:r>
    </w:p>
    <w:p>
      <w:pPr>
        <w:pStyle w:val="Normal"/>
        <w:numPr>
          <w:ilvl w:val="1"/>
          <w:numId w:val="26"/>
        </w:numPr>
        <w:ind w:hanging="142" w:left="142"/>
        <w:jc w:val="both"/>
        <w:rPr/>
      </w:pPr>
      <w:r>
        <w:rPr/>
        <w:t>Duomenų tvarkytojas pagal Šalių ..... m.. ................ d. pasirašytą Paslaugų viešojo pirkimo–pardavimo sutartį Nr. ...... (toliau – Paslaugų sutartis) dėl vaikų stovyklų paslaugų teikimo (toliau – Paslaugos) tvarkys asmens duomenis Paslaugų sutartyje nustatytais tikslais Duomenų valdytojo vardu.</w:t>
      </w:r>
    </w:p>
    <w:p>
      <w:pPr>
        <w:pStyle w:val="Normal"/>
        <w:jc w:val="both"/>
        <w:rPr/>
      </w:pPr>
      <w:r>
        <w:rPr/>
      </w:r>
    </w:p>
    <w:p>
      <w:pPr>
        <w:pStyle w:val="Normal"/>
        <w:jc w:val="both"/>
        <w:rPr/>
      </w:pPr>
      <w:r>
        <w:rPr/>
        <w:t>1.2. Duomenų tvarkytojas privalo tvarkyti tik tuos asmens duomenis ir tik taip, kaip jam nurodė Duomenų valdytojas  ir tik tokia apimtimi, kokia būtina Paslaugų teikimui.</w:t>
      </w:r>
    </w:p>
    <w:p>
      <w:pPr>
        <w:pStyle w:val="Normal"/>
        <w:jc w:val="both"/>
        <w:rPr/>
      </w:pPr>
      <w:r>
        <w:rPr/>
      </w:r>
    </w:p>
    <w:p>
      <w:pPr>
        <w:pStyle w:val="Normal"/>
        <w:jc w:val="both"/>
        <w:rPr/>
      </w:pPr>
      <w:r>
        <w:rP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rPr/>
        <w:t xml:space="preserve">omenų apsaugos reglamentas) ir kituose teisės aktuose įtvirtintų asmens duomenų apsaugos reikalavimų (toliau – Duomenų apsaugos reikalavimai) ir yra taikoma visiems asmens duomenų tvarkymo veiksmams, atliekamiems pagal Sutartį. </w:t>
      </w:r>
    </w:p>
    <w:p>
      <w:pPr>
        <w:pStyle w:val="Normal"/>
        <w:jc w:val="both"/>
        <w:rPr/>
      </w:pPr>
      <w:r>
        <w:rPr/>
      </w:r>
    </w:p>
    <w:p>
      <w:pPr>
        <w:pStyle w:val="Normal"/>
        <w:jc w:val="both"/>
        <w:rPr/>
      </w:pPr>
      <w:r>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pPr>
        <w:pStyle w:val="Normal"/>
        <w:jc w:val="both"/>
        <w:rPr/>
      </w:pPr>
      <w:r>
        <w:rPr/>
      </w:r>
    </w:p>
    <w:p>
      <w:pPr>
        <w:pStyle w:val="Normal"/>
        <w:jc w:val="both"/>
        <w:rPr/>
      </w:pPr>
      <w:r>
        <w:rP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rPr/>
        <w:t>omenų apsaugos reglamentas).</w:t>
      </w:r>
    </w:p>
    <w:p>
      <w:pPr>
        <w:pStyle w:val="Normal"/>
        <w:rPr/>
      </w:pPr>
      <w:r>
        <w:rPr/>
      </w:r>
    </w:p>
    <w:p>
      <w:pPr>
        <w:pStyle w:val="Normal"/>
        <w:rPr/>
      </w:pPr>
      <w:r>
        <w:rPr/>
      </w:r>
    </w:p>
    <w:p>
      <w:pPr>
        <w:pStyle w:val="Normal"/>
        <w:numPr>
          <w:ilvl w:val="0"/>
          <w:numId w:val="27"/>
        </w:numPr>
        <w:jc w:val="center"/>
        <w:rPr>
          <w:b/>
          <w:bCs/>
        </w:rPr>
      </w:pPr>
      <w:r>
        <w:rPr>
          <w:b/>
          <w:bCs/>
        </w:rPr>
        <w:t>PAVEDAMAS ASMENS DUOMENŲ TVARKYMAS</w:t>
      </w:r>
    </w:p>
    <w:p>
      <w:pPr>
        <w:pStyle w:val="Normal"/>
        <w:rPr>
          <w:b/>
          <w:bCs/>
        </w:rPr>
      </w:pPr>
      <w:r>
        <w:rPr>
          <w:b/>
          <w:bCs/>
        </w:rPr>
      </w:r>
    </w:p>
    <w:p>
      <w:pPr>
        <w:pStyle w:val="Normal"/>
        <w:jc w:val="both"/>
        <w:rPr/>
      </w:pPr>
      <w:r>
        <w:rPr/>
        <w:t>2.1. Duomenų tvarkytojui pavedama tvarkyti asmens duomenis, kurie yra būtini, kad Duomenų tvarkytojas galėtų teikti Paslaugas.</w:t>
      </w:r>
    </w:p>
    <w:p>
      <w:pPr>
        <w:pStyle w:val="Normal"/>
        <w:jc w:val="both"/>
        <w:rPr/>
      </w:pPr>
      <w:r>
        <w:rPr/>
      </w:r>
    </w:p>
    <w:p>
      <w:pPr>
        <w:pStyle w:val="Normal"/>
        <w:jc w:val="both"/>
        <w:rPr/>
      </w:pPr>
      <w:r>
        <w:rPr/>
        <w:t>2.2. Asmens duomenų tvarkymo tikslas, duomenų subjektų, kurių asmens duomenys tvarkomi, kategorijos ir tvarkomų asmens duomenų kategorijos yra šie:</w:t>
      </w:r>
    </w:p>
    <w:p>
      <w:pPr>
        <w:pStyle w:val="Normal"/>
        <w:rPr/>
      </w:pPr>
      <w:r>
        <w:rPr/>
      </w:r>
    </w:p>
    <w:tbl>
      <w:tblPr>
        <w:tblW w:w="1003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570"/>
        <w:gridCol w:w="3212"/>
        <w:gridCol w:w="4253"/>
      </w:tblGrid>
      <w:tr>
        <w:trPr/>
        <w:tc>
          <w:tcPr>
            <w:tcW w:w="2570" w:type="dxa"/>
            <w:tcBorders/>
          </w:tcPr>
          <w:p>
            <w:pPr>
              <w:pStyle w:val="Normal"/>
              <w:rPr>
                <w:b/>
                <w:bCs/>
              </w:rPr>
            </w:pPr>
            <w:r>
              <w:rPr>
                <w:b/>
                <w:bCs/>
                <w:kern w:val="2"/>
                <w:szCs w:val="24"/>
                <w:lang w:eastAsia="zh-CN" w:bidi="hi-IN"/>
              </w:rPr>
              <w:t>Duomenų tvarkymo tikslas</w:t>
            </w:r>
          </w:p>
        </w:tc>
        <w:tc>
          <w:tcPr>
            <w:tcW w:w="3212" w:type="dxa"/>
            <w:tcBorders/>
          </w:tcPr>
          <w:p>
            <w:pPr>
              <w:pStyle w:val="Normal"/>
              <w:rPr>
                <w:b/>
                <w:bCs/>
              </w:rPr>
            </w:pPr>
            <w:r>
              <w:rPr>
                <w:b/>
                <w:bCs/>
                <w:kern w:val="2"/>
                <w:szCs w:val="24"/>
                <w:lang w:eastAsia="zh-CN" w:bidi="hi-IN"/>
              </w:rPr>
              <w:t>Duomenų subjektų kategorijos</w:t>
            </w:r>
          </w:p>
        </w:tc>
        <w:tc>
          <w:tcPr>
            <w:tcW w:w="4253" w:type="dxa"/>
            <w:tcBorders/>
          </w:tcPr>
          <w:p>
            <w:pPr>
              <w:pStyle w:val="Normal"/>
              <w:rPr>
                <w:b/>
                <w:bCs/>
              </w:rPr>
            </w:pPr>
            <w:r>
              <w:rPr>
                <w:b/>
                <w:bCs/>
                <w:kern w:val="2"/>
                <w:szCs w:val="24"/>
                <w:lang w:eastAsia="zh-CN" w:bidi="hi-IN"/>
              </w:rPr>
              <w:t>Asmens duomenų kategorijos (toliau - Asmens duomenys)</w:t>
            </w:r>
          </w:p>
        </w:tc>
      </w:tr>
      <w:tr>
        <w:trPr>
          <w:trHeight w:val="981" w:hRule="atLeast"/>
        </w:trPr>
        <w:tc>
          <w:tcPr>
            <w:tcW w:w="2570" w:type="dxa"/>
            <w:tcBorders/>
          </w:tcPr>
          <w:p>
            <w:pPr>
              <w:pStyle w:val="Normal"/>
              <w:rPr/>
            </w:pPr>
            <w:r>
              <w:rPr>
                <w:kern w:val="2"/>
                <w:szCs w:val="24"/>
                <w:lang w:eastAsia="zh-CN" w:bidi="hi-IN"/>
              </w:rPr>
              <w:t>Vaikų stovykls paslaugų teikimas pagal Paslaugų sutartį</w:t>
            </w:r>
          </w:p>
        </w:tc>
        <w:tc>
          <w:tcPr>
            <w:tcW w:w="3212" w:type="dxa"/>
            <w:tcBorders/>
          </w:tcPr>
          <w:p>
            <w:pPr>
              <w:pStyle w:val="Normal"/>
              <w:rPr/>
            </w:pPr>
            <w:r>
              <w:rPr>
                <w:kern w:val="2"/>
                <w:szCs w:val="24"/>
                <w:lang w:eastAsia="zh-CN" w:bidi="hi-IN"/>
              </w:rPr>
              <w:t>Vaikų stovyklų dalyviai</w:t>
            </w:r>
          </w:p>
        </w:tc>
        <w:tc>
          <w:tcPr>
            <w:tcW w:w="4253" w:type="dxa"/>
            <w:tcBorders/>
          </w:tcPr>
          <w:p>
            <w:pPr>
              <w:pStyle w:val="Normal"/>
              <w:rPr/>
            </w:pPr>
            <w:r>
              <w:rPr>
                <w:bCs/>
                <w:kern w:val="2"/>
                <w:szCs w:val="24"/>
                <w:lang w:eastAsia="zh-CN" w:bidi="hi-IN"/>
              </w:rPr>
              <w:t>Vaikų stovyklos dalyvio vardas ir pavardė, gimimo data, asmens kodas,  kiti būtini duomenys.</w:t>
            </w:r>
          </w:p>
        </w:tc>
      </w:tr>
    </w:tbl>
    <w:p>
      <w:pPr>
        <w:pStyle w:val="Normal"/>
        <w:rPr>
          <w:b/>
          <w:bCs/>
        </w:rPr>
      </w:pPr>
      <w:r>
        <w:rPr>
          <w:b/>
          <w:bCs/>
        </w:rPr>
      </w:r>
    </w:p>
    <w:p>
      <w:pPr>
        <w:pStyle w:val="Normal"/>
        <w:jc w:val="both"/>
        <w:rPr/>
      </w:pPr>
      <w:r>
        <w:rPr/>
        <w:t>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vaikų stovyklų organizavimo klausimais, pateikti vaikų stovyklų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pPr>
        <w:pStyle w:val="Normal"/>
        <w:rPr/>
      </w:pPr>
      <w:r>
        <w:rPr/>
      </w:r>
    </w:p>
    <w:p>
      <w:pPr>
        <w:pStyle w:val="Normal"/>
        <w:jc w:val="center"/>
        <w:rPr>
          <w:b/>
          <w:bCs/>
        </w:rPr>
      </w:pPr>
      <w:r>
        <w:rPr>
          <w:b/>
          <w:bCs/>
        </w:rPr>
        <w:t>3. DUOMENŲ VALDYTOJO PAREIGOS</w:t>
      </w:r>
    </w:p>
    <w:p>
      <w:pPr>
        <w:pStyle w:val="Normal"/>
        <w:rPr>
          <w:b/>
          <w:bCs/>
        </w:rPr>
      </w:pPr>
      <w:r>
        <w:rPr>
          <w:b/>
          <w:bCs/>
        </w:rPr>
      </w:r>
    </w:p>
    <w:p>
      <w:pPr>
        <w:pStyle w:val="Normal"/>
        <w:jc w:val="both"/>
        <w:rPr/>
      </w:pPr>
      <w:r>
        <w:rPr/>
        <w:t>3.1. Duomenų valdytojas įsipareigoja:</w:t>
      </w:r>
    </w:p>
    <w:p>
      <w:pPr>
        <w:pStyle w:val="Normal"/>
        <w:jc w:val="both"/>
        <w:rPr/>
      </w:pPr>
      <w:r>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pPr>
        <w:pStyle w:val="Normal"/>
        <w:jc w:val="both"/>
        <w:rPr/>
      </w:pPr>
      <w:r>
        <w:rPr/>
        <w:t>3.1.2. priimti sprendimus dėl asmens duomenų tvarkymo tikslų ir priemonių;</w:t>
      </w:r>
    </w:p>
    <w:p>
      <w:pPr>
        <w:pStyle w:val="Normal"/>
        <w:jc w:val="both"/>
        <w:rPr/>
      </w:pPr>
      <w:r>
        <w:rPr/>
        <w:t>3.1.3. užtikrinti, kad asmens duomenų tvarkymas, kurį Duomenų tvarkytojui pavesta atlikti, turėtų teisinį pagrindą;</w:t>
      </w:r>
    </w:p>
    <w:p>
      <w:pPr>
        <w:pStyle w:val="Normal"/>
        <w:jc w:val="both"/>
        <w:rPr>
          <w:b/>
          <w:bCs/>
        </w:rPr>
      </w:pPr>
      <w:r>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pPr>
        <w:pStyle w:val="Normal"/>
        <w:rPr/>
      </w:pPr>
      <w:r>
        <w:rPr/>
      </w:r>
    </w:p>
    <w:p>
      <w:pPr>
        <w:pStyle w:val="Normal"/>
        <w:jc w:val="center"/>
        <w:rPr>
          <w:b/>
          <w:bCs/>
        </w:rPr>
      </w:pPr>
      <w:r>
        <w:rPr>
          <w:b/>
          <w:bCs/>
        </w:rPr>
        <w:t>4. DUOMENŲ TVARKYTOJO PAREIGOS</w:t>
      </w:r>
    </w:p>
    <w:p>
      <w:pPr>
        <w:pStyle w:val="Normal"/>
        <w:rPr>
          <w:b/>
          <w:bCs/>
        </w:rPr>
      </w:pPr>
      <w:r>
        <w:rPr>
          <w:b/>
          <w:bCs/>
        </w:rPr>
      </w:r>
    </w:p>
    <w:p>
      <w:pPr>
        <w:pStyle w:val="Normal"/>
        <w:jc w:val="both"/>
        <w:rPr>
          <w:bCs/>
        </w:rPr>
      </w:pPr>
      <w:r>
        <w:rPr>
          <w:bCs/>
        </w:rPr>
        <w:t>4.1. Duomenų tvarkytojas įsipareigoja:</w:t>
      </w:r>
    </w:p>
    <w:p>
      <w:pPr>
        <w:pStyle w:val="Normal"/>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pPr>
        <w:pStyle w:val="Normal"/>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pPr>
        <w:pStyle w:val="Normal"/>
        <w:jc w:val="both"/>
        <w:rPr/>
      </w:pPr>
      <w:r>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 </w:t>
      </w:r>
    </w:p>
    <w:p>
      <w:pPr>
        <w:pStyle w:val="Normal"/>
        <w:jc w:val="both"/>
        <w:rPr/>
      </w:pPr>
      <w:r>
        <w:rPr/>
        <w:t>4.1.4. Užtikrinti, kad asmens duomenis tvarkytų tik įgalioti Duomenų tvarkytojo darbuotojai, kurie būtų raštu įsipareigoję užtikrinti asmens duomenų konfidencialumą ir saugumą.</w:t>
      </w:r>
    </w:p>
    <w:p>
      <w:pPr>
        <w:pStyle w:val="Normal"/>
        <w:jc w:val="both"/>
        <w:rPr/>
      </w:pPr>
      <w:r>
        <w:rPr/>
        <w:t xml:space="preserve">4.1.5. Užtikrinti, kad asmens duomenys būtų išsaugomi Duomenų tvarkytojui priklausančiose laikmenose tik tais atvejais ir tik tiek laiko, kiek būtina Paslaugų suteikimui. </w:t>
      </w:r>
    </w:p>
    <w:p>
      <w:pPr>
        <w:pStyle w:val="Normal"/>
        <w:jc w:val="both"/>
        <w:rPr/>
      </w:pPr>
      <w:r>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pPr>
        <w:pStyle w:val="Normal"/>
        <w:jc w:val="both"/>
        <w:rPr/>
      </w:pPr>
      <w:r>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pPr>
        <w:pStyle w:val="Normal"/>
        <w:jc w:val="both"/>
        <w:rPr/>
      </w:pPr>
      <w:r>
        <w:rPr/>
        <w:t xml:space="preserve">4.1.8. Pranešti Duomenų valdytojui apie visus pasikeitimus, susijusius su taikomomis apsaugos priemonėmis, kurie gali turėti neigiamos įtakos asmens duomenų saugumui. </w:t>
      </w:r>
    </w:p>
    <w:p>
      <w:pPr>
        <w:pStyle w:val="Normal"/>
        <w:jc w:val="both"/>
        <w:rPr/>
      </w:pPr>
      <w:r>
        <w:rPr/>
        <w:t xml:space="preserve">4.1.9. Gavęs Duomenų valdytojo prašymą, įgyvendinti papildomas pagrįstas technines ir organizacines saugumo priemones, taip pat pakoreguoti asmens duomenų tvarkymo procedūras, už tai nereikalaudamas jokių papildomų kompensacijų. </w:t>
      </w:r>
    </w:p>
    <w:p>
      <w:pPr>
        <w:pStyle w:val="Normal"/>
        <w:jc w:val="both"/>
        <w:rPr/>
      </w:pPr>
      <w:r>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pPr>
        <w:pStyle w:val="Normal"/>
        <w:jc w:val="both"/>
        <w:rPr/>
      </w:pPr>
      <w:r>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pPr>
        <w:pStyle w:val="Normal"/>
        <w:jc w:val="both"/>
        <w:rPr/>
      </w:pPr>
      <w:r>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pPr>
        <w:pStyle w:val="Normal"/>
        <w:jc w:val="both"/>
        <w:rPr/>
      </w:pPr>
      <w:r>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pPr>
        <w:pStyle w:val="Normal"/>
        <w:jc w:val="both"/>
        <w:rPr/>
      </w:pPr>
      <w:r>
        <w:rPr/>
        <w:t xml:space="preserve">4.1.14. Informaciją ir pagalbą teikti Duomenų valdytojui Duomenų valdytojo nustatytais terminais. </w:t>
      </w:r>
    </w:p>
    <w:p>
      <w:pPr>
        <w:pStyle w:val="Normal"/>
        <w:jc w:val="both"/>
        <w:rPr/>
      </w:pPr>
      <w:r>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pPr>
        <w:pStyle w:val="Normal"/>
        <w:jc w:val="both"/>
        <w:rPr/>
      </w:pPr>
      <w:r>
        <w:rPr/>
      </w:r>
    </w:p>
    <w:p>
      <w:pPr>
        <w:pStyle w:val="Normal"/>
        <w:jc w:val="both"/>
        <w:rPr/>
      </w:pPr>
      <w:r>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pPr>
        <w:pStyle w:val="Normal"/>
        <w:jc w:val="both"/>
        <w:rPr/>
      </w:pPr>
      <w:r>
        <w:rPr/>
      </w:r>
    </w:p>
    <w:p>
      <w:pPr>
        <w:pStyle w:val="Normal"/>
        <w:jc w:val="center"/>
        <w:rPr>
          <w:b/>
        </w:rPr>
      </w:pPr>
      <w:r>
        <w:rPr>
          <w:b/>
        </w:rPr>
        <w:t>5. PRANEŠIMAS APIE DUOMENŲ SAUGUMO PAŽEIDIMĄ</w:t>
      </w:r>
    </w:p>
    <w:p>
      <w:pPr>
        <w:pStyle w:val="Normal"/>
        <w:rPr>
          <w:b/>
        </w:rPr>
      </w:pPr>
      <w:r>
        <w:rPr>
          <w:b/>
        </w:rPr>
      </w:r>
    </w:p>
    <w:p>
      <w:pPr>
        <w:pStyle w:val="Normal"/>
        <w:jc w:val="both"/>
        <w:rPr/>
      </w:pPr>
      <w:r>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pPr>
        <w:pStyle w:val="Normal"/>
        <w:jc w:val="both"/>
        <w:rPr/>
      </w:pPr>
      <w:r>
        <w:rPr/>
        <w:t xml:space="preserve">5.1.1. Asmens duomenų saugumo pažeidimo pobūdis, įskaitant, jei įmanoma, atitinkamų duomenų subjektų kategorijas ir apytikslį duomenų subjektų skaičių. </w:t>
      </w:r>
    </w:p>
    <w:p>
      <w:pPr>
        <w:pStyle w:val="Normal"/>
        <w:jc w:val="both"/>
        <w:rPr/>
      </w:pPr>
      <w:r>
        <w:rPr/>
        <w:t xml:space="preserve">5.1.2. Duomenų apsaugos pareigūno aar kito kontaktinio asmens, galinčio suteikti daugiau informacijos apie pažeidimą, vardas bei pavardė (pavadinimas) ir kontaktiniai duomenys. </w:t>
      </w:r>
    </w:p>
    <w:p>
      <w:pPr>
        <w:pStyle w:val="Normal"/>
        <w:jc w:val="both"/>
        <w:rPr/>
      </w:pPr>
      <w:r>
        <w:rPr/>
        <w:t xml:space="preserve">5.1.3. Tikėtinos asmens duomenų saugumo pažeidimo pasekmės. </w:t>
      </w:r>
    </w:p>
    <w:p>
      <w:pPr>
        <w:pStyle w:val="Normal"/>
        <w:jc w:val="both"/>
        <w:rPr/>
      </w:pPr>
      <w:r>
        <w:rPr/>
        <w:t xml:space="preserve">5.1.4. Priemonės, kurių ėmėsi arba pasiūlė imtis Duomenų tvarkytojas, kad būtų pašalintas asmens duomenų saugumo pažeidimas, įskaitant, priemones galimoms neigiamoms jo pasekmėms sumažinti. </w:t>
      </w:r>
    </w:p>
    <w:p>
      <w:pPr>
        <w:pStyle w:val="Normal"/>
        <w:rPr>
          <w:b/>
        </w:rPr>
      </w:pPr>
      <w:r>
        <w:rPr>
          <w:b/>
        </w:rPr>
        <w:tab/>
      </w:r>
    </w:p>
    <w:p>
      <w:pPr>
        <w:pStyle w:val="Normal"/>
        <w:jc w:val="center"/>
        <w:rPr>
          <w:b/>
        </w:rPr>
      </w:pPr>
      <w:r>
        <w:rPr>
          <w:b/>
        </w:rPr>
        <w:t>6. TEISĖ ATLIKTI PATIKRINIMĄ</w:t>
      </w:r>
    </w:p>
    <w:p>
      <w:pPr>
        <w:pStyle w:val="Normal"/>
        <w:rPr>
          <w:b/>
        </w:rPr>
      </w:pPr>
      <w:r>
        <w:rPr>
          <w:b/>
        </w:rPr>
      </w:r>
    </w:p>
    <w:p>
      <w:pPr>
        <w:pStyle w:val="Normal"/>
        <w:jc w:val="both"/>
        <w:rPr/>
      </w:pPr>
      <w:r>
        <w:rP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pPr>
        <w:pStyle w:val="Normal"/>
        <w:jc w:val="both"/>
        <w:rPr/>
      </w:pPr>
      <w:r>
        <w:rPr/>
      </w:r>
    </w:p>
    <w:p>
      <w:pPr>
        <w:pStyle w:val="Normal"/>
        <w:jc w:val="both"/>
        <w:rPr/>
      </w:pPr>
      <w: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patikrinimo išlaidas. </w:t>
      </w:r>
    </w:p>
    <w:p>
      <w:pPr>
        <w:pStyle w:val="Normal"/>
        <w:jc w:val="both"/>
        <w:rPr/>
      </w:pPr>
      <w:r>
        <w:rPr/>
      </w:r>
    </w:p>
    <w:p>
      <w:pPr>
        <w:pStyle w:val="Normal"/>
        <w:jc w:val="both"/>
        <w:rPr/>
      </w:pPr>
      <w:r>
        <w:rPr/>
        <w:t xml:space="preserve">6.3. Duomenų valdytojo vykdomas patikrinimas neapriboja ir neatleidžia Duomenų tvarkytojo ir jo pasitelkiamų papildomų duomenų tvarkytojų (subtvarkytojų) nuo įsipareigojimų ir atsakomybės pagal šią Sutartį.  </w:t>
      </w:r>
    </w:p>
    <w:p>
      <w:pPr>
        <w:pStyle w:val="Normal"/>
        <w:rPr>
          <w:b/>
        </w:rPr>
      </w:pPr>
      <w:r>
        <w:rPr>
          <w:b/>
        </w:rPr>
      </w:r>
    </w:p>
    <w:p>
      <w:pPr>
        <w:pStyle w:val="Normal"/>
        <w:jc w:val="center"/>
        <w:rPr>
          <w:b/>
        </w:rPr>
      </w:pPr>
      <w:r>
        <w:rPr>
          <w:b/>
        </w:rPr>
        <w:t>7. ATSAKOMYBĖ IR KOMPENSACIJOS</w:t>
      </w:r>
    </w:p>
    <w:p>
      <w:pPr>
        <w:pStyle w:val="Normal"/>
        <w:rPr>
          <w:b/>
        </w:rPr>
      </w:pPr>
      <w:r>
        <w:rPr>
          <w:b/>
        </w:rPr>
      </w:r>
    </w:p>
    <w:p>
      <w:pPr>
        <w:pStyle w:val="Normal"/>
        <w:jc w:val="both"/>
        <w:rPr/>
      </w:pPr>
      <w:r>
        <w:rPr/>
        <w:t xml:space="preserve">7.1. Duomenų tvarkytojas neturi teisės gauti jokių kompensacijų dėl išlaidų, atsiradusių vykdant Sutartyje nustatytus įsipareigojimus. </w:t>
      </w:r>
    </w:p>
    <w:p>
      <w:pPr>
        <w:pStyle w:val="Normal"/>
        <w:jc w:val="both"/>
        <w:rPr>
          <w:b/>
        </w:rPr>
      </w:pPr>
      <w:r>
        <w:rPr>
          <w:b/>
        </w:rPr>
      </w:r>
    </w:p>
    <w:p>
      <w:pPr>
        <w:pStyle w:val="Normal"/>
        <w:jc w:val="both"/>
        <w:rPr/>
      </w:pPr>
      <w:r>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pPr>
        <w:pStyle w:val="Normal"/>
        <w:jc w:val="both"/>
        <w:rPr/>
      </w:pPr>
      <w:r>
        <w:rPr/>
      </w:r>
    </w:p>
    <w:p>
      <w:pPr>
        <w:pStyle w:val="Normal"/>
        <w:jc w:val="center"/>
        <w:rPr/>
      </w:pPr>
      <w:r>
        <w:rPr>
          <w:b/>
        </w:rPr>
        <w:t>8. BAIGIAMOSIOS NUOSTATOS</w:t>
      </w:r>
    </w:p>
    <w:p>
      <w:pPr>
        <w:pStyle w:val="Normal"/>
        <w:jc w:val="both"/>
        <w:rPr>
          <w:b/>
        </w:rPr>
      </w:pPr>
      <w:r>
        <w:rPr>
          <w:b/>
        </w:rPr>
      </w:r>
    </w:p>
    <w:p>
      <w:pPr>
        <w:pStyle w:val="Normal"/>
        <w:jc w:val="both"/>
        <w:rPr/>
      </w:pPr>
      <w:r>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pPr>
        <w:pStyle w:val="Normal"/>
        <w:jc w:val="both"/>
        <w:rPr/>
      </w:pPr>
      <w:r>
        <w:rPr/>
        <w:t xml:space="preserve">8.1.1. Siuntos pristatymo momentu, jeigu pristatymas teikiamas kurjerių (siuntų) tarnybos. </w:t>
      </w:r>
    </w:p>
    <w:p>
      <w:pPr>
        <w:pStyle w:val="Normal"/>
        <w:jc w:val="both"/>
        <w:rPr/>
      </w:pPr>
      <w:r>
        <w:rPr/>
        <w:t>8.1.2. 3 (trečią) darbo dieną nuo tos dienos, kai pranešimas buvo pateiktas paštui, kai siunčiama registruotu paštu.</w:t>
      </w:r>
    </w:p>
    <w:p>
      <w:pPr>
        <w:pStyle w:val="Normal"/>
        <w:jc w:val="both"/>
        <w:rPr/>
      </w:pPr>
      <w:r>
        <w:rPr/>
        <w:t xml:space="preserve">8.1.3. Šaliai patvirtinus gavimą, kai informacija siunčiama el. paštu. </w:t>
      </w:r>
    </w:p>
    <w:p>
      <w:pPr>
        <w:pStyle w:val="Normal"/>
        <w:jc w:val="both"/>
        <w:rPr/>
      </w:pPr>
      <w:r>
        <w:rPr/>
      </w:r>
    </w:p>
    <w:p>
      <w:pPr>
        <w:pStyle w:val="Normal"/>
        <w:jc w:val="both"/>
        <w:rPr/>
      </w:pPr>
      <w:r>
        <w:rPr/>
        <w:t>8.2. Sutarčiai taikoma Lietuvos Respublikos teisė. Ginčai, kylantys iš Sutarties, sprendžiami Šalių susitarimu, nesusitarus – kompetentinguose Lietuvos Respublikos teismuose.</w:t>
      </w:r>
    </w:p>
    <w:p>
      <w:pPr>
        <w:pStyle w:val="Normal"/>
        <w:jc w:val="both"/>
        <w:rPr>
          <w:b/>
        </w:rPr>
      </w:pPr>
      <w:r>
        <w:rPr>
          <w:b/>
        </w:rPr>
      </w:r>
    </w:p>
    <w:p>
      <w:pPr>
        <w:pStyle w:val="Normal"/>
        <w:jc w:val="both"/>
        <w:rPr/>
      </w:pPr>
      <w: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pPr>
        <w:pStyle w:val="Normal"/>
        <w:jc w:val="both"/>
        <w:rPr/>
      </w:pPr>
      <w:r>
        <w:rPr/>
        <w:t>8.4. Sutartis sudaryta dviem egzemplioriais, turinčiais vienodą juridinę galią, po vieną egzempliorių kiekvienai iš Šalių.</w:t>
      </w:r>
    </w:p>
    <w:p>
      <w:pPr>
        <w:pStyle w:val="Normal"/>
        <w:rPr/>
      </w:pPr>
      <w:r>
        <w:rPr/>
      </w:r>
    </w:p>
    <w:p>
      <w:pPr>
        <w:pStyle w:val="Normal"/>
        <w:rPr>
          <w:b/>
        </w:rPr>
      </w:pPr>
      <w:r>
        <w:rPr>
          <w:b/>
        </w:rPr>
        <w:t>9. ŠALIŲ REKVIZITAI IR PARAŠAI</w:t>
      </w:r>
    </w:p>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pPr>
      <w:r>
        <w:rPr/>
      </w:r>
    </w:p>
    <w:p>
      <w:pPr>
        <w:pStyle w:val="Normal"/>
        <w:jc w:val="right"/>
        <w:rPr/>
      </w:pPr>
      <w:r>
        <w:rPr/>
        <w:t>Asmens duomenų tvarkymo sutarties</w:t>
      </w:r>
    </w:p>
    <w:p>
      <w:pPr>
        <w:pStyle w:val="Normal"/>
        <w:jc w:val="right"/>
        <w:rPr/>
      </w:pPr>
      <w:r>
        <w:rPr/>
        <w:t>1 priedas</w:t>
      </w:r>
    </w:p>
    <w:p>
      <w:pPr>
        <w:pStyle w:val="Normal"/>
        <w:rPr/>
      </w:pPr>
      <w:r>
        <w:rPr/>
      </w:r>
    </w:p>
    <w:p>
      <w:pPr>
        <w:pStyle w:val="Normal"/>
        <w:jc w:val="center"/>
        <w:rPr>
          <w:b/>
          <w:bCs/>
        </w:rPr>
      </w:pPr>
      <w:r>
        <w:rPr>
          <w:b/>
          <w:bCs/>
        </w:rPr>
        <w:t>INFORMACIJA APIE PASITELKIAMUS PAGALBINIUS DUOMENŲ TVARKYTOJUS (SUBTVARKYTOJUS)</w:t>
      </w:r>
    </w:p>
    <w:p>
      <w:pPr>
        <w:pStyle w:val="Normal"/>
        <w:rPr/>
      </w:pPr>
      <w:r>
        <w:rPr/>
      </w:r>
    </w:p>
    <w:p>
      <w:pPr>
        <w:pStyle w:val="Normal"/>
        <w:rPr/>
      </w:pPr>
      <w:r>
        <w:rPr/>
      </w:r>
    </w:p>
    <w:p>
      <w:pPr>
        <w:pStyle w:val="Normal"/>
        <w:rPr>
          <w:b/>
          <w:bCs/>
        </w:rPr>
      </w:pPr>
      <w:r>
        <w:rPr>
          <w:b/>
          <w:bCs/>
        </w:rPr>
        <w:t>1.</w:t>
        <w:tab/>
        <w:t>Įgalioti pagalbiniai duomenų tvarkytojai (subtvarkytojai):</w:t>
      </w:r>
    </w:p>
    <w:p>
      <w:pPr>
        <w:pStyle w:val="Normal"/>
        <w:rPr>
          <w:b/>
          <w:bCs/>
        </w:rPr>
      </w:pPr>
      <w:r>
        <w:rPr>
          <w:b/>
          <w:bCs/>
        </w:rPr>
      </w:r>
    </w:p>
    <w:p>
      <w:pPr>
        <w:pStyle w:val="Normal"/>
        <w:rPr/>
      </w:pPr>
      <w:r>
        <w:rPr/>
        <w:t>Įsigaliojus Sutarčiai, Duomenų valdytojas leidžia Duomenų tvarkytojui pasitelkti šiuos pagalbinius duomenų tvarkytojus (subtvarkytojus) laikantis Sutarties 4.1.3 punkte nustatytų reikalavimų:</w:t>
      </w:r>
    </w:p>
    <w:p>
      <w:pPr>
        <w:pStyle w:val="Normal"/>
        <w:rPr/>
      </w:pPr>
      <w:r>
        <w:rPr/>
      </w:r>
    </w:p>
    <w:tbl>
      <w:tblPr>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66"/>
        <w:gridCol w:w="1466"/>
        <w:gridCol w:w="2069"/>
        <w:gridCol w:w="3960"/>
      </w:tblGrid>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t>Pavadinimas arba vardas, pavardė</w:t>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t>Įmonės kodas / individualios veiklos pažymėjimo numeris arba verslo liudijimo numeris</w:t>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t>Asmens duomenų tvarkymo aprašymas</w:t>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bCs/>
        </w:rPr>
      </w:pPr>
      <w:r>
        <w:rPr>
          <w:bCs/>
        </w:rPr>
      </w:r>
    </w:p>
    <w:p>
      <w:pPr>
        <w:pStyle w:val="Normal"/>
        <w:jc w:val="center"/>
        <w:rPr/>
      </w:pPr>
      <w:r>
        <w:rPr/>
        <w:t>___________________</w:t>
      </w:r>
    </w:p>
    <w:p>
      <w:pPr>
        <w:pStyle w:val="Normal"/>
        <w:rPr/>
      </w:pPr>
      <w:r>
        <w:rPr/>
      </w:r>
    </w:p>
    <w:p>
      <w:pPr>
        <w:pStyle w:val="Normal"/>
        <w:overflowPunct w:val="true"/>
        <w:rPr/>
      </w:pPr>
      <w:r>
        <w:rPr/>
      </w:r>
      <w:r>
        <w:br w:type="page"/>
      </w:r>
    </w:p>
    <w:p>
      <w:pPr>
        <w:pStyle w:val="Normal"/>
        <w:spacing w:before="0" w:after="0"/>
        <w:rPr/>
      </w:pPr>
      <w:r>
        <w:rPr/>
      </w:r>
    </w:p>
    <w:p>
      <w:pPr>
        <w:pStyle w:val="Normal"/>
        <w:jc w:val="right"/>
        <w:rPr/>
      </w:pPr>
      <w:r>
        <w:rPr/>
        <w:t>Asmens duomenų tvarkymo sutarties</w:t>
      </w:r>
    </w:p>
    <w:p>
      <w:pPr>
        <w:pStyle w:val="Normal"/>
        <w:jc w:val="right"/>
        <w:rPr/>
      </w:pPr>
      <w:r>
        <w:rPr/>
        <w:t>2 priedas</w:t>
      </w:r>
    </w:p>
    <w:p>
      <w:pPr>
        <w:pStyle w:val="Normal"/>
        <w:rPr/>
      </w:pPr>
      <w:r>
        <w:rPr/>
      </w:r>
    </w:p>
    <w:p>
      <w:pPr>
        <w:pStyle w:val="Normal"/>
        <w:rPr/>
      </w:pPr>
      <w:r>
        <w:rPr/>
      </w:r>
    </w:p>
    <w:p>
      <w:pPr>
        <w:pStyle w:val="Normal"/>
        <w:jc w:val="center"/>
        <w:rPr>
          <w:b/>
          <w:bCs/>
        </w:rPr>
      </w:pPr>
      <w:r>
        <w:rPr>
          <w:b/>
          <w:bCs/>
        </w:rPr>
        <w:t>DUOMENŲ TVARKYTOJO ĮGYVENDINAMOS ORGANIZACINĖS IR TECHNINĖS DUOMENŲ SAUGUMO PRIEMONĖS</w:t>
      </w:r>
    </w:p>
    <w:p>
      <w:pPr>
        <w:pStyle w:val="Normal"/>
        <w:rPr>
          <w:b/>
          <w:bCs/>
        </w:rPr>
      </w:pPr>
      <w:r>
        <w:rPr>
          <w:b/>
          <w:bCs/>
        </w:rPr>
      </w:r>
    </w:p>
    <w:p>
      <w:pPr>
        <w:pStyle w:val="Normal"/>
        <w:rPr/>
      </w:pPr>
      <w:r>
        <w:rPr/>
      </w:r>
    </w:p>
    <w:p>
      <w:pPr>
        <w:pStyle w:val="Normal"/>
        <w:jc w:val="both"/>
        <w:rPr/>
      </w:pPr>
      <w:r>
        <w:rPr/>
        <w:t>Duomenų tvarkytojas, tvarkydamas asmens duomenis, privalo įgyvendinti šias duomenų saugumo priemones:</w:t>
      </w:r>
    </w:p>
    <w:p>
      <w:pPr>
        <w:pStyle w:val="Normal"/>
        <w:numPr>
          <w:ilvl w:val="0"/>
          <w:numId w:val="28"/>
        </w:numPr>
        <w:jc w:val="both"/>
        <w:rPr/>
      </w:pPr>
      <w:r>
        <w:rPr/>
        <w:t>asmens duomenų ir jų tvarkymo saugumas organizacijoje turi būti dokumentuotas kaip informacijos saugumo politikos dalis;</w:t>
      </w:r>
    </w:p>
    <w:p>
      <w:pPr>
        <w:pStyle w:val="Normal"/>
        <w:numPr>
          <w:ilvl w:val="0"/>
          <w:numId w:val="29"/>
        </w:numPr>
        <w:jc w:val="both"/>
        <w:rPr/>
      </w:pPr>
      <w:r>
        <w:rP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pPr>
        <w:pStyle w:val="Normal"/>
        <w:numPr>
          <w:ilvl w:val="0"/>
          <w:numId w:val="30"/>
        </w:numPr>
        <w:jc w:val="both"/>
        <w:rPr/>
      </w:pPr>
      <w:r>
        <w:rPr/>
        <w:t>užtikrinama, kad darbuotojai, kuriems pavedama tvarkyti asmens duomenis būtų susipažinę su asmens duomenų tvarkymą ir jų apsaugą reglamentuojančiais teisės aktais;</w:t>
      </w:r>
    </w:p>
    <w:p>
      <w:pPr>
        <w:pStyle w:val="Normal"/>
        <w:numPr>
          <w:ilvl w:val="0"/>
          <w:numId w:val="31"/>
        </w:numPr>
        <w:jc w:val="both"/>
        <w:rPr/>
      </w:pPr>
      <w:r>
        <w:rPr/>
        <w:t>užtikrinama, kad visi su asmens duomenų tvarkymu susiję darbuotojai būtų įsipareigoję saugoti asmens duomenų paslaptį;</w:t>
      </w:r>
    </w:p>
    <w:p>
      <w:pPr>
        <w:pStyle w:val="Normal"/>
        <w:numPr>
          <w:ilvl w:val="0"/>
          <w:numId w:val="32"/>
        </w:numPr>
        <w:jc w:val="both"/>
        <w:rPr/>
      </w:pPr>
      <w:r>
        <w:rPr/>
        <w:t>prieiga prie asmens duomenų apsaugota pakankamo kompleksiškumo prisijungimo vardu ir slaptažodžiu;</w:t>
      </w:r>
    </w:p>
    <w:p>
      <w:pPr>
        <w:pStyle w:val="Normal"/>
        <w:numPr>
          <w:ilvl w:val="0"/>
          <w:numId w:val="33"/>
        </w:numPr>
        <w:jc w:val="both"/>
        <w:rPr/>
      </w:pPr>
      <w:r>
        <w:rPr/>
        <w:t>nenaudojamos bendros naudotojų paskyros;</w:t>
      </w:r>
    </w:p>
    <w:p>
      <w:pPr>
        <w:pStyle w:val="Normal"/>
        <w:numPr>
          <w:ilvl w:val="0"/>
          <w:numId w:val="34"/>
        </w:numPr>
        <w:jc w:val="both"/>
        <w:rPr/>
      </w:pPr>
      <w:r>
        <w:rPr/>
        <w:t>kontroliuojama prieiga prie asmens duomenų tokiomis organizacinėmis ir techninėmis asmens duomenų saugumo priemonėmis, kurios fiksuoja ir kontroliuoja registravimosi bei teisių gavimo pastangas;</w:t>
      </w:r>
    </w:p>
    <w:p>
      <w:pPr>
        <w:pStyle w:val="Normal"/>
        <w:numPr>
          <w:ilvl w:val="0"/>
          <w:numId w:val="35"/>
        </w:numPr>
        <w:jc w:val="both"/>
        <w:rPr/>
      </w:pPr>
      <w:r>
        <w:rPr/>
        <w:t>nustatomas leistinų nepavykusių prisijungimų prie programinės įrangos skaičius;</w:t>
      </w:r>
    </w:p>
    <w:p>
      <w:pPr>
        <w:pStyle w:val="Normal"/>
        <w:numPr>
          <w:ilvl w:val="0"/>
          <w:numId w:val="36"/>
        </w:numPr>
        <w:jc w:val="both"/>
        <w:rPr/>
      </w:pPr>
      <w:r>
        <w:rPr/>
        <w:t xml:space="preserve">užtikrinama, kad asmens duomenų tvarkymui skirti informacinių technologijų ištekliai būtų registruoti ir apskaitomi tam skirtame registre; </w:t>
      </w:r>
    </w:p>
    <w:p>
      <w:pPr>
        <w:pStyle w:val="Normal"/>
        <w:numPr>
          <w:ilvl w:val="0"/>
          <w:numId w:val="37"/>
        </w:numPr>
        <w:jc w:val="both"/>
        <w:rPr/>
      </w:pPr>
      <w:r>
        <w:rPr/>
        <w:t>asmens duomenų tvarkymui naudojama tik legali programinė įranga;</w:t>
      </w:r>
    </w:p>
    <w:p>
      <w:pPr>
        <w:pStyle w:val="Normal"/>
        <w:numPr>
          <w:ilvl w:val="0"/>
          <w:numId w:val="38"/>
        </w:numPr>
        <w:jc w:val="both"/>
        <w:rPr/>
      </w:pPr>
      <w:r>
        <w:rPr/>
        <w:t xml:space="preserve">darbo vietų kompiuteriuose įdiegta ekrano užsklanda, kuri įsijungia po 15 min. neatlikus kompiuteriu jokių veiksmų;  </w:t>
      </w:r>
    </w:p>
    <w:p>
      <w:pPr>
        <w:pStyle w:val="Normal"/>
        <w:numPr>
          <w:ilvl w:val="0"/>
          <w:numId w:val="39"/>
        </w:numPr>
        <w:jc w:val="both"/>
        <w:rPr/>
      </w:pPr>
      <w: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pPr>
        <w:pStyle w:val="Normal"/>
        <w:numPr>
          <w:ilvl w:val="0"/>
          <w:numId w:val="40"/>
        </w:numPr>
        <w:jc w:val="both"/>
        <w:rPr/>
      </w:pPr>
      <w:r>
        <w:rPr/>
        <w:t xml:space="preserve">programinė įranga yra apsaugota nuo pagrindinių per tinklą vykdomų atakų: SQL įskverbties (angl. </w:t>
      </w:r>
      <w:r>
        <w:rPr>
          <w:i/>
          <w:iCs/>
        </w:rPr>
        <w:t>SQL injection</w:t>
      </w:r>
      <w:r>
        <w:rPr/>
        <w:t xml:space="preserve">), XSS (angl. </w:t>
      </w:r>
      <w:r>
        <w:rPr>
          <w:i/>
          <w:iCs/>
        </w:rPr>
        <w:t>Cross-sitescripting</w:t>
      </w:r>
      <w:r>
        <w:rPr/>
        <w:t xml:space="preserve">), paslaugos trikdymo atakos (angl. </w:t>
      </w:r>
      <w:r>
        <w:rPr>
          <w:i/>
          <w:iCs/>
        </w:rPr>
        <w:t>DOS</w:t>
      </w:r>
      <w:r>
        <w:rPr/>
        <w:t xml:space="preserve">), paskirstytosios paslaugos trikdymo atakos (angl. </w:t>
      </w:r>
      <w:r>
        <w:rPr>
          <w:i/>
          <w:iCs/>
        </w:rPr>
        <w:t>DDOS</w:t>
      </w:r>
      <w:r>
        <w:rPr/>
        <w:t>);</w:t>
      </w:r>
    </w:p>
    <w:p>
      <w:pPr>
        <w:pStyle w:val="Normal"/>
        <w:numPr>
          <w:ilvl w:val="0"/>
          <w:numId w:val="41"/>
        </w:numPr>
        <w:jc w:val="both"/>
        <w:rPr/>
      </w:pPr>
      <w:r>
        <w:rPr/>
        <w:t>užtikrinamas saugių protokolų ir slaptažodžių naudojimas, kai asmens duomenys perduodami išoriniais duomenų perdavimo tinklais;</w:t>
      </w:r>
    </w:p>
    <w:p>
      <w:pPr>
        <w:pStyle w:val="Normal"/>
        <w:numPr>
          <w:ilvl w:val="0"/>
          <w:numId w:val="42"/>
        </w:numPr>
        <w:jc w:val="both"/>
        <w:rPr/>
      </w:pPr>
      <w:r>
        <w:rPr/>
        <w:t>taisant kompiuterius ne Duomenų tvarkytojo patalpose arba perduodant juos tretiesiems asmenims, informacijos kaupikliai išimami arba juose esanti informacija sunaikinama;</w:t>
      </w:r>
    </w:p>
    <w:p>
      <w:pPr>
        <w:pStyle w:val="Normal"/>
        <w:numPr>
          <w:ilvl w:val="0"/>
          <w:numId w:val="43"/>
        </w:numPr>
        <w:jc w:val="both"/>
        <w:rPr/>
      </w:pPr>
      <w:r>
        <w:rPr/>
        <w:t>valdomi, fiksuojami ir dokumentuojami įvykę asmens duomenų saugumo pažeidimai;</w:t>
      </w:r>
    </w:p>
    <w:p>
      <w:pPr>
        <w:pStyle w:val="Normal"/>
        <w:numPr>
          <w:ilvl w:val="0"/>
          <w:numId w:val="44"/>
        </w:numPr>
        <w:jc w:val="both"/>
        <w:rPr/>
      </w:pPr>
      <w:r>
        <w:rPr/>
        <w:t>užtikrinama asmens duomenų apsauga nuo neteisėto prisijungimo prie vidinio kompiuterinio tinklo elektroninių ryšių priemonėmis;</w:t>
      </w:r>
    </w:p>
    <w:p>
      <w:pPr>
        <w:pStyle w:val="Normal"/>
        <w:numPr>
          <w:ilvl w:val="0"/>
          <w:numId w:val="45"/>
        </w:numPr>
        <w:jc w:val="both"/>
        <w:rPr/>
      </w:pPr>
      <w:r>
        <w:rPr/>
        <w:t>užtikrinamas patalpų, kuriose saugomi asmens duomenys, saugumas (apribojamas neįgaliotų asmenų patekimas į atitinkamas patalpas ir pan.);</w:t>
      </w:r>
    </w:p>
    <w:p>
      <w:pPr>
        <w:pStyle w:val="Normal"/>
        <w:numPr>
          <w:ilvl w:val="0"/>
          <w:numId w:val="46"/>
        </w:numPr>
        <w:jc w:val="both"/>
        <w:rPr/>
      </w:pPr>
      <w:r>
        <w:rPr/>
        <w:t>daromos atsarginės duomenų kopijos, registruojami asmens duomenų kopijavimo ir atkūrimo jų avarinio praradimo atveju veiksmai (kada ir kas atliko šiuos veiksmus);</w:t>
      </w:r>
    </w:p>
    <w:p>
      <w:pPr>
        <w:pStyle w:val="Normal"/>
        <w:numPr>
          <w:ilvl w:val="0"/>
          <w:numId w:val="47"/>
        </w:numPr>
        <w:jc w:val="both"/>
        <w:rPr/>
      </w:pPr>
      <w:r>
        <w:rP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pPr>
        <w:pStyle w:val="Normal"/>
        <w:jc w:val="center"/>
        <w:rPr/>
      </w:pPr>
      <w:r>
        <w:rPr/>
        <w:t>___________________</w:t>
      </w:r>
    </w:p>
    <w:p>
      <w:pPr>
        <w:pStyle w:val="Normal"/>
        <w:rPr>
          <w:b/>
          <w:bCs/>
          <w:u w:val="single"/>
        </w:rPr>
      </w:pPr>
      <w:r>
        <w:rPr>
          <w:b/>
          <w:bCs/>
          <w:u w:val="single"/>
        </w:rPr>
      </w:r>
    </w:p>
    <w:p>
      <w:pPr>
        <w:pStyle w:val="Normal"/>
        <w:rPr/>
      </w:pPr>
      <w:r>
        <w:rPr/>
      </w:r>
    </w:p>
    <w:p>
      <w:pPr>
        <w:pStyle w:val="Normal"/>
        <w:rPr/>
      </w:pPr>
      <w:r>
        <w:rPr/>
      </w:r>
    </w:p>
    <w:p>
      <w:pPr>
        <w:pStyle w:val="Normal"/>
        <w:rPr/>
      </w:pPr>
      <w:r>
        <w:rPr/>
      </w:r>
    </w:p>
    <w:p>
      <w:pPr>
        <w:pStyle w:val="Normal"/>
        <w:spacing w:lineRule="auto" w:line="276"/>
        <w:jc w:val="center"/>
        <w:rPr/>
      </w:pPr>
      <w:r>
        <w:rPr/>
      </w:r>
    </w:p>
    <w:p>
      <w:pPr>
        <w:pStyle w:val="Normal"/>
        <w:spacing w:lineRule="auto" w:line="276"/>
        <w:jc w:val="center"/>
        <w:rPr/>
      </w:pPr>
      <w:r>
        <w:rPr/>
      </w:r>
    </w:p>
    <w:sectPr>
      <w:headerReference w:type="default" r:id="rId5"/>
      <w:headerReference w:type="first" r:id="rId6"/>
      <w:footerReference w:type="default" r:id="rId7"/>
      <w:footerReference w:type="first" r:id="rId8"/>
      <w:type w:val="nextPage"/>
      <w:pgSz w:w="12240" w:h="15840"/>
      <w:pgMar w:left="1701" w:right="567" w:gutter="0" w:header="720" w:top="1134" w:footer="720" w:bottom="1134"/>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 w:name="Segoe UI">
    <w:charset w:val="00"/>
    <w:family w:val="roman"/>
    <w:pitch w:val="variable"/>
  </w:font>
  <w:font w:name="Arial">
    <w:charset w:val="00"/>
    <w:family w:val="roman"/>
    <w:pitch w:val="variable"/>
  </w:font>
  <w:font w:name="Liberation Serif">
    <w:altName w:val="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27</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4</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4">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3"/>
    <w:lvlOverride w:ilvl="0">
      <w:startOverride w:val="1"/>
    </w:lvlOverride>
    <w:lvlOverride w:ilvl="1">
      <w:startOverride w:val="1"/>
    </w:lvlOverride>
  </w:num>
  <w:num w:numId="27">
    <w:abstractNumId w:val="3"/>
  </w:num>
  <w:num w:numId="28">
    <w:abstractNumId w:val="5"/>
    <w:lvlOverride w:ilvl="0">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AntratsDiagrama" w:customStyle="1">
    <w:name w:val="Antraštės Diagrama"/>
    <w:basedOn w:val="DefaultParagraphFont"/>
    <w:link w:val="Header"/>
    <w:qFormat/>
    <w:rsid w:val="00480651"/>
    <w:rPr/>
  </w:style>
  <w:style w:type="character" w:styleId="PoratDiagrama" w:customStyle="1">
    <w:name w:val="Poraštė Diagrama"/>
    <w:basedOn w:val="DefaultParagraphFont"/>
    <w:link w:val="Footer"/>
    <w:qFormat/>
    <w:rsid w:val="00480651"/>
    <w:rPr/>
  </w:style>
  <w:style w:type="character" w:styleId="EndnoteCharacters" w:customStyle="1">
    <w:name w:val="Endnote Characters"/>
    <w:qFormat/>
    <w:rPr/>
  </w:style>
  <w:style w:type="character" w:styleId="Hyperlink">
    <w:name w:val="Hyperlink"/>
    <w:basedOn w:val="DefaultParagraphFont"/>
    <w:rPr>
      <w:color w:themeColor="hyperlink" w:val="0563C1"/>
      <w:u w:val="single"/>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Paragraph" w:customStyle="1">
    <w:name w:val="paragraph"/>
    <w:basedOn w:val="Normal"/>
    <w:qFormat/>
    <w:rsid w:val="00d13ebe"/>
    <w:pPr>
      <w:spacing w:beforeAutospacing="1" w:afterAutospacing="1"/>
    </w:pPr>
    <w:rPr>
      <w:szCs w:val="24"/>
      <w:lang w:val="en-US"/>
    </w:rPr>
  </w:style>
  <w:style w:type="paragraph" w:styleId="HeaderandFooter" w:customStyle="1">
    <w:name w:val="Header and Footer"/>
    <w:basedOn w:val="Normal"/>
    <w:qFormat/>
    <w:pPr/>
    <w:rPr/>
  </w:style>
  <w:style w:type="paragraph" w:styleId="Header">
    <w:name w:val="Header"/>
    <w:basedOn w:val="Normal"/>
    <w:link w:val="AntratsDiagrama"/>
    <w:unhideWhenUsed/>
    <w:rsid w:val="00480651"/>
    <w:pPr>
      <w:tabs>
        <w:tab w:val="clear" w:pos="1296"/>
        <w:tab w:val="center" w:pos="4680" w:leader="none"/>
        <w:tab w:val="right" w:pos="9360" w:leader="none"/>
      </w:tabs>
    </w:pPr>
    <w:rPr/>
  </w:style>
  <w:style w:type="paragraph" w:styleId="Footer">
    <w:name w:val="Footer"/>
    <w:basedOn w:val="Normal"/>
    <w:link w:val="PoratDiagrama"/>
    <w:unhideWhenUsed/>
    <w:rsid w:val="00480651"/>
    <w:pPr>
      <w:tabs>
        <w:tab w:val="clear" w:pos="1296"/>
        <w:tab w:val="center" w:pos="4680" w:leader="none"/>
        <w:tab w:val="right" w:pos="9360" w:leader="none"/>
      </w:tabs>
    </w:pPr>
    <w:rPr/>
  </w:style>
  <w:style w:type="paragraph" w:styleId="NoSpacing">
    <w:name w:val="No Spacing"/>
    <w:qFormat/>
    <w:pPr>
      <w:widowControl/>
      <w:suppressAutoHyphens w:val="true"/>
      <w:bidi w:val="0"/>
      <w:spacing w:before="0" w:after="0"/>
      <w:jc w:val="left"/>
    </w:pPr>
    <w:rPr>
      <w:rFonts w:ascii="Calibri" w:hAnsi="Calibri" w:eastAsia="" w:cs="Arial" w:eastAsiaTheme="minorEastAsia"/>
      <w:color w:val="auto"/>
      <w:kern w:val="2"/>
      <w:sz w:val="21"/>
      <w:szCs w:val="21"/>
      <w:lang w:val="en-US" w:eastAsia="lt-LT" w:bidi="hi-IN"/>
    </w:rPr>
  </w:style>
  <w:style w:type="paragraph" w:styleId="ListParagraph">
    <w:name w:val="List Paragraph"/>
    <w:basedOn w:val="Normal"/>
    <w:qFormat/>
    <w:pPr>
      <w:spacing w:before="0" w:after="160"/>
      <w:ind w:left="720"/>
      <w:contextualSpacing/>
    </w:pPr>
    <w:rPr>
      <w:rFonts w:eastAsia="Calibri" w:eastAsiaTheme="minorHAnsi"/>
      <w:sz w:val="22"/>
      <w:szCs w:val="22"/>
    </w:rPr>
  </w:style>
  <w:style w:type="paragraph" w:styleId="Other" w:customStyle="1">
    <w:name w:val="Other"/>
    <w:basedOn w:val="Normal"/>
    <w:qFormat/>
    <w:pPr>
      <w:widowControl w:val="false"/>
      <w:spacing w:lineRule="auto" w:line="276"/>
    </w:pPr>
    <w:rPr>
      <w:i/>
      <w:iCs/>
      <w:sz w:val="20"/>
      <w:szCs w:val="22"/>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s://www.e-tar.lt/portal/lt/legalAct/TAR.4B60A8C9678B/asr"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Application>LibreOffice/7.6.4.1$Windows_X86_64 LibreOffice_project/e19e193f88cd6c0525a17fb7a176ed8e6a3e2aa1</Application>
  <AppVersion>15.0000</AppVersion>
  <Pages>45</Pages>
  <Words>15495</Words>
  <Characters>110952</Characters>
  <CharactersWithSpaces>125981</CharactersWithSpaces>
  <Paragraphs>721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2025-05-14T10:47:00Z</dcterms:created>
  <dc:creator>Lina</dc:creator>
  <dc:description/>
  <dc:language>en-US</dc:language>
  <cp:lastModifiedBy/>
  <dcterms:modified xsi:type="dcterms:W3CDTF">2026-06-22T10:16:58Z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